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TierSchTrV 2009 — Besondere Anforderungen an Behältnisse</w:t>
      </w:r>
    </w:p>
    <w:p>
      <w:r>
        <w:rPr>
          <w:color w:val="555555"/>
          <w:sz w:val="18"/>
        </w:rPr>
        <w:t xml:space="preserve">Tierschutztransportverordnung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Zusätzlich zu den gemeinschaftsrechtlichen Vorschriften oder unionsrechtlichen Vorschriften zum Transport in Behältnissen hat der Absender bei innerstaatlichen Transporten sicherzustellen, dass</w:t>
      </w:r>
    </w:p>
    <w:p>
      <w:pPr>
        <w:ind w:left="420"/>
      </w:pPr>
      <w:r>
        <w:t xml:space="preserve">1. Tiere der in Anlage 1 genannten Arten nur in Behältnissen befördert werden, die die Anforderungen der Anlage 1 erfüllen, und,</w:t>
      </w:r>
    </w:p>
    <w:p>
      <w:pPr>
        <w:ind w:left="420"/>
      </w:pPr>
      <w:r>
        <w:t xml:space="preserve">2. soweit in der Anlage 1 Mindest- oder Höchstzahlen für Tiere je Behältnis vorgeschrieben sind, diese eingehalten werden.</w:t>
      </w:r>
    </w:p>
    <w:p>
      <w:r>
        <w:t xml:space="preserve">Übernimmt der Transportunternehmer oder der Organisator das Verladen der Tiere in die Behältnisse, so hat er die Einhaltung der Anforderungen des Satzes 1 sicherzustellen. Satz 1 Nr. 1 gilt nicht im Falle des Lufttransports und der mit diesem im Zusammenhang stehenden Landtransporte.</w:t>
      </w:r>
    </w:p>
    <w:p>
      <w:r>
        <w:rPr>
          <w:color w:val="555555"/>
          <w:sz w:val="17"/>
        </w:rPr>
        <w:t xml:space="preserve">Zitiervorschlag: § 6 TierSchTrV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https://recht.nulegal.eu/gesetze/TierSchTrV%202009/6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TierSchTrV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