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TierSchTrV 2009 — Schienentransport</w:t>
      </w:r>
    </w:p>
    <w:p>
      <w:r>
        <w:rPr>
          <w:color w:val="555555"/>
          <w:sz w:val="18"/>
        </w:rPr>
        <w:t xml:space="preserve">Tierschutztransportverordnung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Zusätzlich zu den gemeinschaftsrechtlichen Vorschriften oder unionsrechtlichen Vorschriften zum Schienentransport haben der Transportunternehmer im Sinne des Artikels 2 Buchstabe x der Verordnung (EG) Nr. 1/2005 (Transportunternehmer) und der Organisator im Sinne des Artikels 2 Buchstabe q der Verordnung (EG) Nr. 1/2005 (Organisator) bei innerstaatlichen Schienentransporten sicherzustellen, dass</w:t>
      </w:r>
    </w:p>
    <w:p>
      <w:pPr>
        <w:ind w:left="420"/>
      </w:pPr>
      <w:r>
        <w:t xml:space="preserve">1. Wirbeltiere oder die Behältnisse, in denen sich Wirbeltiere befinden, so verladen sind, dass sie für einen Begleiter zum Zweck des Fütterns, des Tränkens und der Pflege der Tiere zugänglich sind,</w:t>
      </w:r>
    </w:p>
    <w:p>
      <w:pPr>
        <w:ind w:left="420"/>
      </w:pPr>
      <w:r>
        <w:t xml:space="preserve">2. Einhufer angebunden befördert werden, und zwar so, dass sie bei Querverladung zu derselben Seite des Wagens schauen oder bei Längsverladung sich gegenüberstehen.</w:t>
      </w:r>
    </w:p>
    <w:p>
      <w:r>
        <w:t xml:space="preserve">Satz 1 Nr. 2 gilt nicht, soweit die Tiere im Transportmittel in Einzelboxen untergebracht werden. Fohlen und Halfter ungewohnte Tiere müssen nicht angebunden werden.</w:t>
      </w:r>
    </w:p>
    <w:p>
      <w:r>
        <w:rPr>
          <w:color w:val="555555"/>
          <w:sz w:val="17"/>
        </w:rPr>
        <w:t xml:space="preserve">Zitiervorschlag: § 5 TierSchTrV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https://recht.nulegal.eu/gesetze/TierSchTrV%202009/5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