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TierSchTrV 2009 — Zulassungsnummer</w:t>
      </w:r>
    </w:p>
    <w:p>
      <w:r>
        <w:rPr>
          <w:color w:val="555555"/>
          <w:sz w:val="18"/>
        </w:rPr>
        <w:t xml:space="preserve">Tierschutztransportverordnung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Zulassungsnummer im Sinne des Artikels 13 Abs. 2 der Verordnung (EG) Nr. 1/2005 ist zwölfstellig und wird aus der für die Sitzgemeinde des Transportunternehmers vorgesehenen amtlichen Schlüsselnummer des vom Statistischen Bundesamt herausgegebenen Gemeindeschlüsselverzeichnisses sowie einer vierstelligen Betriebsnummer gebildet.</w:t>
      </w:r>
    </w:p>
    <w:p>
      <w:r>
        <w:rPr>
          <w:color w:val="555555"/>
          <w:sz w:val="17"/>
        </w:rPr>
        <w:t xml:space="preserve">Zitiervorschlag: § 2 TierSchTrV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https://recht.nulegal.eu/gesetze/TierSchTrV%202009/2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