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TierSchTrV 2009 — Meeressäugetiere und Vögel</w:t>
      </w:r>
    </w:p>
    <w:p>
      <w:r>
        <w:rPr>
          <w:color w:val="555555"/>
          <w:sz w:val="18"/>
        </w:rPr>
        <w:t xml:space="preserve">Tierschutztransportverordnung</w:t>
      </w:r>
    </w:p>
    <w:p>
      <w:r>
        <w:rPr>
          <w:color w:val="555555"/>
          <w:sz w:val="18"/>
        </w:rPr>
        <w:t xml:space="preserve">Stand: 01.01.2022 (konsolidierte Textfassung, kein amtliches Inkrafttretensdatum)</w:t>
      </w:r>
    </w:p>
    <w:p>
      <w:r>
        <w:t xml:space="preserve">(1) Zusätzlich zu den gemeinschaftsrechtlichen Vorschriften oder unionsrechtlichen Vorschriften müssen Meeressäugetiere bei innerstaatlichen Transporten von einer sachkundigen Person betreut werden. Behältnisse, in denen Meeressäugetiere befördert werden, dürfen nicht gestapelt werden.</w:t>
      </w:r>
    </w:p>
    <w:p>
      <w:r>
        <w:t xml:space="preserve">(2) Zusätzlich zu den gemeinschaftsrechtlichen Vorschriften oder unionsrechtlichen Vorschriften dürfen andere Vögel als Hausgeflügel und Stubenvögel bei innerstaatlichen Transporten nur in abgedunkelten Behältnissen befördert werden. Den Tieren muss jedoch so viel Licht zur Verfügung stehen, dass sie sich orientieren und Futter sowie Wasser aufnehmen können.</w:t>
      </w:r>
    </w:p>
    <w:p>
      <w:r>
        <w:rPr>
          <w:color w:val="555555"/>
          <w:sz w:val="17"/>
        </w:rPr>
        <w:t xml:space="preserve">Zitiervorschlag: § 12 TierSchTrV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https://recht.nulegal.eu/gesetze/TierSchTrV%202009/12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