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TierSchTrV 2009 — Anwendungsbereich</w:t>
      </w:r>
    </w:p>
    <w:p>
      <w:r>
        <w:rPr>
          <w:color w:val="555555"/>
          <w:sz w:val="18"/>
        </w:rPr>
        <w:t xml:space="preserve">Tierschutztransportverordnung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dient dem Schutz von Tieren beim Transport, insbesondere der Durchführung der Verordnung (EG) Nr. 1/2005 des Rates vom 22. Dezember 2004 über den Schutz von Tieren beim Transport und damit zusammenhängenden Vorgängen sowie zur Änderung der Richtlinien 64/432/EWG und 93/119/EG und der Verordnung (EG) Nr. 1255/97 (ABl. EU 2005 Nr. L 3 S. 1; 2006 Nr. L 113 S. 26).</w:t>
      </w:r>
    </w:p>
    <w:p>
      <w:r>
        <w:t xml:space="preserve">(2) Diese Verordnung gilt, ausgenommen die §§ 7 und 8, nicht für Transporte im Sinne des Artikels 1 Abs. 5 der Verordnung (EG) Nr. 1/2005.</w:t>
      </w:r>
    </w:p>
    <w:p>
      <w:r>
        <w:rPr>
          <w:color w:val="555555"/>
          <w:sz w:val="17"/>
        </w:rPr>
        <w:t xml:space="preserve">Zitiervorschlag: § 1 TierSchTrV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https://recht.nulegal.eu/gesetze/TierSchTrV%202009/1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TierSchTrV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