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TierSchNutztV — Anwendungsbereich</w:t>
      </w:r>
    </w:p>
    <w:p>
      <w:r>
        <w:rPr>
          <w:color w:val="555555"/>
          <w:sz w:val="18"/>
        </w:rPr>
        <w:t xml:space="preserve">Tierschutz-Nutztierhaltungsverordnung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Schweine dürfen, unbeschadet der Anforderungen der §§ 3 und 4, nur nach Maßgabe der Vorschriften dieses Abschnitts gehalten werden. Die §§ 22 bis 25 und 27 Absatz 2 gelten nicht für Haltungseinrichtungen außerhalb von Ställen.</w:t>
      </w:r>
    </w:p>
    <w:p>
      <w:r>
        <w:rPr>
          <w:color w:val="555555"/>
          <w:sz w:val="17"/>
        </w:rPr>
        <w:t xml:space="preserve">Zitiervorschlag: § 21 TierSchNutztV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https://recht.nulegal.eu/gesetze/TierSchNutztV/21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