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TierSchNutztV — Anwendungsbereich</w:t>
      </w:r>
    </w:p>
    <w:p>
      <w:r>
        <w:rPr>
          <w:color w:val="555555"/>
          <w:sz w:val="18"/>
        </w:rPr>
        <w:t xml:space="preserve">Tierschutz-Nutztierhaltungsverordnung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das Halten von Nutztieren zu Erwerbszwecken.</w:t>
      </w:r>
    </w:p>
    <w:p>
      <w:r>
        <w:t xml:space="preserve">(2) Die Vorschriften dieser Verordnung sind nicht anzuwenden</w:t>
      </w:r>
    </w:p>
    <w:p>
      <w:pPr>
        <w:ind w:left="420"/>
      </w:pPr>
      <w:r>
        <w:t xml:space="preserve">1. auf die vorübergehende Unterbringung von Tieren während Wettbewerben, Ausstellungen, Absatzveranstaltungen sowie kultureller Veranstaltungen;</w:t>
      </w:r>
    </w:p>
    <w:p>
      <w:pPr>
        <w:ind w:left="420"/>
      </w:pPr>
      <w:r>
        <w:t xml:space="preserve">2. während einer tierärztlichen Behandlung, soweit nach dem Urteil des Tierarztes im Einzelfall andere Anforderungen an das Halten zu stellen sind;</w:t>
      </w:r>
    </w:p>
    <w:p>
      <w:pPr>
        <w:ind w:left="420"/>
      </w:pPr>
      <w:r>
        <w:t xml:space="preserve">3. während eines Tierversuchs im Sinne des § 7 Absatz 2 des Tierschutzgesetzes, soweit für den verfolgten Zweck andere Anforderungen an das Halten unerlässlich sind.</w:t>
      </w:r>
    </w:p>
    <w:p>
      <w:r>
        <w:rPr>
          <w:color w:val="555555"/>
          <w:sz w:val="17"/>
        </w:rPr>
        <w:t xml:space="preserve">Zitiervorschlag: § 1 TierSchNutztV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https://recht.nulegal.eu/gesetze/TierSchNutztV/1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