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TierSchKomV — Geschäftsführung</w:t>
      </w:r>
    </w:p>
    <w:p>
      <w:r>
        <w:rPr>
          <w:color w:val="555555"/>
          <w:sz w:val="18"/>
        </w:rPr>
        <w:t xml:space="preserve">Tierschutzkommissions-Verordnung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führt die Geschäfte der Tierschutzkommission und lädt im Benehmen mit dem Vorsitzenden mindestens einmal jährlich zu den Sitzungen ein. Vorschläge des Vorsitzenden im Rahmen des § 1 hat er in die Tagesordnung aufzunehmen.</w:t>
      </w:r>
    </w:p>
    <w:p>
      <w:r>
        <w:rPr>
          <w:color w:val="555555"/>
          <w:sz w:val="17"/>
        </w:rPr>
        <w:t xml:space="preserve">Zitiervorschlag: § 5 TierSchKomV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https://recht.nulegal.eu/gesetze/TierSchKomV/5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