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TierSchKomV — Berufung der Mitglieder</w:t>
      </w:r>
    </w:p>
    <w:p>
      <w:r>
        <w:rPr>
          <w:color w:val="555555"/>
          <w:sz w:val="18"/>
        </w:rPr>
        <w:t xml:space="preserve">Tierschutzkommissions-Verordnung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werden vom Bundesministerium für vier Jahre berufen. Wiederberufung ist zulässig.</w:t>
      </w:r>
    </w:p>
    <w:p>
      <w:r>
        <w:t xml:space="preserve">(2) Für ein Mitglied, daß vorzeitig ausscheidet, wird ein Ersatzmitglied berufen, dessen Mitgliedschaft zu dem Zeitpunkt endet, an dem die Berufung des ausgeschiedenen Mitglieds nach Absatz 1 Satz 1 geendet hätte.</w:t>
      </w:r>
    </w:p>
    <w:p>
      <w:r>
        <w:rPr>
          <w:color w:val="555555"/>
          <w:sz w:val="17"/>
        </w:rPr>
        <w:t xml:space="preserve">Zitiervorschlag: § 3 TierSchKomV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https://recht.nulegal.eu/gesetze/TierSchKomV/3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