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TierSchHuV — Ausnahmen für das vorübergehende Halten</w:t>
      </w:r>
    </w:p>
    <w:p>
      <w:r>
        <w:rPr>
          <w:color w:val="555555"/>
          <w:sz w:val="18"/>
        </w:rPr>
        <w:t xml:space="preserve">Tierschutz-Hundeverordnung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zuständige Behörde kann von den Vorschriften des § 2 Abs. 2 und 3 sowie § 6 Abs. 1 in Verbindung mit Abs. 2 für das vorübergehende Halten von Hunden in Einrichtungen, die Fundhunde oder durch Behörden eingezogene Hunde aufnehmen, befristete Ausnahmen zulassen, wenn sonst die weitere Aufnahme solcher Hunde gefährdet ist.</w:t>
      </w:r>
    </w:p>
    <w:p>
      <w:r>
        <w:rPr>
          <w:color w:val="555555"/>
          <w:sz w:val="17"/>
        </w:rPr>
        <w:t xml:space="preserve">Zitiervorschlag: § 9 TierSchHuV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https://recht.nulegal.eu/gesetze/TierSchHuV/9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