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TierSchHuV — Inkrafttreten, Außerkrafttreten</w:t>
      </w:r>
    </w:p>
    <w:p>
      <w:r>
        <w:rPr>
          <w:color w:val="555555"/>
          <w:sz w:val="18"/>
        </w:rPr>
        <w:t xml:space="preserve">Tierschutz-Hundeverordnung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September 2001 in Kraft. Gleichzeitig tritt die Verordnung über das Halten von Hunden im Freien vom 6. Juni 1974 (BGBl. I S. 1265), geändert durch Artikel 2 Nr. 1 des Gesetzes vom 12. August 1986 (BGBl. I S. 1309), außer Kraft.</w:t>
      </w:r>
    </w:p>
    <w:p>
      <w:r>
        <w:rPr>
          <w:color w:val="555555"/>
          <w:sz w:val="17"/>
        </w:rPr>
        <w:t xml:space="preserve">Zitiervorschlag: § 14 TierSchHuV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https://recht.nulegal.eu/gesetze/TierSchHuV/14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