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4c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Es ist verboten, Küken von Haushühnern der Art Gallus gallus zu töten.</w:t>
      </w:r>
    </w:p>
    <w:p>
      <w:r>
        <w:t xml:space="preserve">(2) Das Verbot gilt nicht</w:t>
      </w:r>
    </w:p>
    <w:p>
      <w:pPr>
        <w:ind w:left="420"/>
      </w:pPr>
      <w:r>
        <w:t xml:space="preserve">1. für den Fall, dass eine Tötung der Küken</w:t>
      </w:r>
    </w:p>
    <w:p>
      <w:pPr>
        <w:ind w:left="780"/>
      </w:pPr>
      <w:r>
        <w:t xml:space="preserve">a) nach tierseuchenrechtlichen Bestimmungen vorgeschrieben oder angeordnet worden ist oder</w:t>
      </w:r>
    </w:p>
    <w:p>
      <w:pPr>
        <w:ind w:left="780"/>
      </w:pPr>
      <w:r>
        <w:t xml:space="preserve">b) im Einzelfall aus Gründen des Tierschutzes erforderlich ist,</w:t>
      </w:r>
    </w:p>
    <w:p>
      <w:pPr>
        <w:ind w:left="420"/>
      </w:pPr>
      <w:r>
        <w:t xml:space="preserve">2. für nicht schlupffähige Küken,</w:t>
      </w:r>
    </w:p>
    <w:p>
      <w:pPr>
        <w:ind w:left="420"/>
      </w:pPr>
      <w:r>
        <w:t xml:space="preserve">3. für Stubenküken nach Artikel 1 Nummer 1 Buchstabe a der Verordnung (EG) Nr. 543/2008 der Kommission vom 16. Juni 2008 mit Durchführungsvorschriften zur Verordnung (EG) Nr. 1234/2007 des Rates hinsichtlich der Vermarktungsnormen für Geflügelfleisch (ABl. L 157 vom 17.6.2008, S. 46; L 8 vom 13.1.2009, S. 33), die zuletzt durch die Verordnung (EU) Nr. 519/2013 (ABl. L 158 vom 10.6.2013, S. 74) geändert worden ist, und</w:t>
      </w:r>
    </w:p>
    <w:p>
      <w:pPr>
        <w:ind w:left="420"/>
      </w:pPr>
      <w:r>
        <w:t xml:space="preserve">4. für Küken,</w:t>
      </w:r>
    </w:p>
    <w:p>
      <w:pPr>
        <w:ind w:left="780"/>
      </w:pPr>
      <w:r>
        <w:t xml:space="preserve">a) die zur Verwendung in Tierversuchen bestimmt sind oder</w:t>
      </w:r>
    </w:p>
    <w:p>
      <w:pPr>
        <w:ind w:left="780"/>
      </w:pPr>
      <w:r>
        <w:t xml:space="preserve">b) deren Gewebe oder Organe dazu bestimmt sind, zu wissenschaftlichen Zwecken verwendet zu werden.</w:t>
      </w:r>
    </w:p>
    <w:p>
      <w:r>
        <w:t xml:space="preserve">(3) Ab dem 13. Bebrütungstag ist es verboten, bei oder nach der Anwendung eines Verfahrens zur Geschlechtsbestimmung im Hühnerei</w:t>
      </w:r>
    </w:p>
    <w:p>
      <w:pPr>
        <w:ind w:left="420"/>
      </w:pPr>
      <w:r>
        <w:t xml:space="preserve">1. einen Eingriff an einem Hühnerei vorzunehmen, der den Tod des Hühnerembryos verursacht, oder</w:t>
      </w:r>
    </w:p>
    <w:p>
      <w:pPr>
        <w:ind w:left="420"/>
      </w:pPr>
      <w:r>
        <w:t xml:space="preserve">2. einen Abbruch des Brutvorgangs vorzunehmen, der den Tod des Hühnerembryos verursacht.</w:t>
      </w:r>
    </w:p>
    <w:p>
      <w:r>
        <w:rPr>
          <w:color w:val="555555"/>
          <w:sz w:val="17"/>
        </w:rPr>
        <w:t xml:space="preserve">Zitiervorschlag: § 4c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