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4b TierSchG</w:t>
      </w:r>
    </w:p>
    <w:p>
      <w:r>
        <w:rPr>
          <w:color w:val="555555"/>
          <w:sz w:val="18"/>
        </w:rPr>
        <w:t xml:space="preserve">Tierschutzgesetz</w:t>
      </w:r>
    </w:p>
    <w:p>
      <w:r>
        <w:rPr>
          <w:color w:val="555555"/>
          <w:sz w:val="18"/>
        </w:rPr>
        <w:t xml:space="preserve">Stand: 12.08.2020 (konsolidierte Textfassung, kein amtliches Inkrafttretensdatum)</w:t>
      </w:r>
    </w:p>
    <w:p>
      <w:r>
        <w:t xml:space="preserve">Das Bundesministerium wird ermächtigt, für die Zwecke der §§ 4 und 4a durch Rechtsverordnung mit Zustimmung des Bundesrates</w:t>
      </w:r>
    </w:p>
    <w:p>
      <w:pPr>
        <w:ind w:left="780"/>
      </w:pPr>
      <w:r>
        <w:t xml:space="preserve">a) das Schlachten von Fischen und anderen kaltblütigen Tieren zu regeln,</w:t>
      </w:r>
    </w:p>
    <w:p>
      <w:pPr>
        <w:ind w:left="780"/>
      </w:pPr>
      <w:r>
        <w:t xml:space="preserve">b) bestimmte Tötungsarten und Betäubungsverfahren näher zu regeln, vorzuschreiben, zuzulassen oder zu verbieten,</w:t>
      </w:r>
    </w:p>
    <w:p>
      <w:pPr>
        <w:ind w:left="780"/>
      </w:pPr>
      <w:r>
        <w:t xml:space="preserve">c) die Voraussetzungen näher zu regeln, unter denen Schlachtungen im Sinne des § 4a Abs. 2 Nr. 2 vorgenommen werden dürfen,</w:t>
      </w:r>
    </w:p>
    <w:p>
      <w:pPr>
        <w:ind w:left="780"/>
      </w:pPr>
      <w:r>
        <w:t xml:space="preserve">d) nähere Vorschriften über Art und Umfang der zum Betäuben oder Töten von Wirbeltieren erforderlichen Kenntnisse und Fähigkeiten sowie über das Verfahren zu deren Nachweis zu erlassen,</w:t>
      </w:r>
    </w:p>
    <w:p>
      <w:pPr>
        <w:ind w:left="780"/>
      </w:pPr>
      <w:r>
        <w:t xml:space="preserve">e) nicht gewerbliche Tätigkeiten zu bestimmen, die den Erwerb des Sachkundenachweises zum Töten von Wirbeltieren erfordern,</w:t>
      </w:r>
    </w:p>
    <w:p>
      <w:pPr>
        <w:ind w:left="420"/>
      </w:pPr>
      <w:r>
        <w:t xml:space="preserve">um sicherzustellen, dass den Tieren nicht mehr als unvermeidbare Schmerzen zugefügt werden,</w:t>
      </w:r>
    </w:p>
    <w:p>
      <w:pPr>
        <w:ind w:left="420"/>
      </w:pPr>
      <w:r>
        <w:t xml:space="preserve">2. das Schlachten von Tieren im Rahmen der Bestimmungen des Europäischen Übereinkommens vom 10. Mai 1979 über den Schutz von Schlachttieren (BGBl. 1983 II S. 770) näher zu regeln,</w:t>
      </w:r>
    </w:p>
    <w:p>
      <w:pPr>
        <w:ind w:left="420"/>
      </w:pPr>
      <w:r>
        <w:t xml:space="preserve">3. für das Schlachten von Geflügel Ausnahmen von der Betäubungspflicht zu bestimmen.</w:t>
      </w:r>
    </w:p>
    <w:p>
      <w:r>
        <w:t xml:space="preserve">Rechtsverordnungen nach Satz 1 Nummer 1 Buchstabe b und d bedürfen,</w:t>
      </w:r>
    </w:p>
    <w:p>
      <w:pPr>
        <w:ind w:left="420"/>
      </w:pPr>
      <w:r>
        <w:t xml:space="preserve">1. soweit sie das Betäuben oder Töten mittels gefährlicher Stoffe oder Gemische im Sinne des Chemikaliengesetzes oder darauf bezogene Voraussetzungen für den Erwerb eines Sachkundenachweises betreffen, des Einvernehmens der Bundesministerien für Wirtschaft und Energie sowie für Umwelt, Naturschutz und nukleare Sicherheit,</w:t>
      </w:r>
    </w:p>
    <w:p>
      <w:pPr>
        <w:ind w:left="420"/>
      </w:pPr>
      <w:r>
        <w:t xml:space="preserve">2. soweit sie das Betäuben oder Töten von Tieren, die zur Verwendung in Tierversuchen bestimmt sind oder deren Gewebe oder Organe dazu bestimmt sind, zu wissenschaftlichen Zwecken verwendet zu werden, oder darauf bezogene Voraussetzungen für den Erwerb eines Sachkundenachweises betreffen, des Einvernehmens des Bundesministeriums für Bildung und Forschung.</w:t>
      </w:r>
    </w:p>
    <w:p>
      <w:r>
        <w:rPr>
          <w:color w:val="555555"/>
          <w:sz w:val="17"/>
        </w:rPr>
        <w:t xml:space="preserve">Zitiervorschlag: § 4b TierSchG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https://recht.nulegal.eu/gesetze/TierSchG/4b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