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TierSchG</w:t>
      </w:r>
    </w:p>
    <w:p>
      <w:r>
        <w:rPr>
          <w:color w:val="555555"/>
          <w:sz w:val="18"/>
        </w:rPr>
        <w:t xml:space="preserve">Tierschutzgesetz</w:t>
      </w:r>
    </w:p>
    <w:p>
      <w:r>
        <w:rPr>
          <w:color w:val="555555"/>
          <w:sz w:val="18"/>
        </w:rPr>
        <w:t xml:space="preserve">Stand: 01.01.2022 (konsolidierte Textfassung, kein amtliches Inkrafttretensdatum)</w:t>
      </w:r>
    </w:p>
    <w:p>
      <w:r>
        <w:t xml:space="preserve">(1) Längstens bis zum Ablauf des 31. Dezember 2020 ist abweichend von § 5 Absatz 1 Satz 1 eine Betäubung nicht erforderlich für das Kastrieren von unter acht Tage alten männlichen Schweinen, sofern kein von der normalen anatomischen Beschaffenheit abweichender Befund vorliegt. Ist eine Betäubung nach Satz 1 nicht erforderlich, gilt § 5 Absatz 1 Satz 6 mit der Maßgabe entsprechend, dass insbesondere schmerzstillende Tierarzneimittel anzuwenden sind.</w:t>
      </w:r>
    </w:p>
    <w:p>
      <w:r>
        <w:t xml:space="preserve">(1a) Bis zum 31. Mai 2019 wird dem Deutschen Bundestag eine Rechtsverordnung des Bundesministeriums nach § 6 Absatz 6 zugeleitet. Die Zuleitung an den Deutschen Bundestag erfolgt vor der Zuleitung an den Bundesrat. Die Rechtsverordnung kann durch Beschluss des Deutschen Bundestages geändert oder abgelehnt werden. Der Beschluss des Deutschen Bundestages wird dem Bundesministerium zugeleitet. Hat sich der Deutsche Bundestag nach Ablauf von drei Sitzungswochen seit Eingang der Rechtsverordnung nicht mit ihr befasst, so wird die unveränderte Rechtsverordnung dem Bundesrat zugeleitet. Soweit die Rechtsverordnung auf Grund des Beschlusses des Bundesrates geändert wird, bedarf es keiner erneuten Zuleitung an den Bundestag.</w:t>
      </w:r>
    </w:p>
    <w:p>
      <w:r>
        <w:t xml:space="preserve">(1b) Das Bundesministerium berichtet bis zum 30. Juni 2019 und dann mindestens alle sechs Monate dem zuständigen Fachausschuss des Deutschen Bundestages über die Umsetzungsfortschritte bei der Einführung alternativer Verfahren und Methoden zur betäubungslosen Ferkelkastration. Dabei soll das Bundesministerium unter anderem den Stand der arzneimittelrechtlichen Zulassung von Tierarzneimitteln für die Durchführung einer Betäubung bei der Ferkelkastration, den Stand der Technik bei Narkosegeräten, das entwickelte Schulungsmaterial und den Schulungserfolg darstellen.</w:t>
      </w:r>
    </w:p>
    <w:p>
      <w:r>
        <w:t xml:space="preserve">(2) Bis zum Ablauf des 31. Dezember 2018 ist abweichend von § 5 Absatz 1 Satz 1 eine Betäubung nicht erforderlich für die Kennzeichnung von Pferden durch Schenkelbrand.</w:t>
      </w:r>
    </w:p>
    <w:p>
      <w:r>
        <w:t xml:space="preserve">(3) (weggefallen)</w:t>
      </w:r>
    </w:p>
    <w:p>
      <w:r>
        <w:t xml:space="preserve">(4) Die Erlaubnis nach § 11 Absatz 1 Satz 1 Nummer 1 und 2 gilt demjenigen,</w:t>
      </w:r>
    </w:p>
    <w:p>
      <w:pPr>
        <w:ind w:left="420"/>
      </w:pPr>
      <w:r>
        <w:t xml:space="preserve">1. der am 12. Juli 2013 eine im Sinne der vorgenannten Vorschriften erlaubnispflichtige Tätigkeit ausübt und</w:t>
      </w:r>
    </w:p>
    <w:p>
      <w:pPr>
        <w:ind w:left="420"/>
      </w:pPr>
      <w:r>
        <w:t xml:space="preserve">2. dem, soweit es sich dabei um eine nach diesem Gesetz in der bis zum 13. Juli 2013 geltenden Fassung erlaubnispflichtige Tätigkeit handelt, vor dem 13. Juli 2013 eine entsprechende Erlaubnis erteilt worden ist,</w:t>
      </w:r>
    </w:p>
    <w:p>
      <w:r>
        <w:t xml:space="preserve">als vorläufig erteilt. Die vorläufige Erlaubnis erlischt,</w:t>
      </w:r>
    </w:p>
    <w:p>
      <w:pPr>
        <w:ind w:left="420"/>
      </w:pPr>
      <w:r>
        <w:t xml:space="preserve">1. wenn nicht bis zum 1. Januar 2014 die Erteilung einer endgültigen Erlaubnis beantragt wird oder</w:t>
      </w:r>
    </w:p>
    <w:p>
      <w:pPr>
        <w:ind w:left="420"/>
      </w:pPr>
      <w:r>
        <w:t xml:space="preserve">2. im Falle rechtzeitiger Antragstellung mit Eintritt der Unanfechtbarkeit der Entscheidung über den Antrag.</w:t>
      </w:r>
    </w:p>
    <w:p>
      <w:r>
        <w:t xml:space="preserve">(4a) § 11 Absatz 1 Satz 1 Nummer 5 ist ab dem 1. August 2014 anzuwenden.</w:t>
      </w:r>
    </w:p>
    <w:p>
      <w:r>
        <w:t xml:space="preserve">(4b) § 11 Absatz 1 Nummer 8 Buchstabe f ist ab dem 1. August 2014 anzuwenden.</w:t>
      </w:r>
    </w:p>
    <w:p>
      <w:r>
        <w:t xml:space="preserve">(5) Bis zum Erlass einer Rechtsverordnung nach § 11 Absatz 2 oder 6 Satz 2 ist § 11 Absatz 1 Satz 2 und 3, Absatz 2, 2a, 5 und 6 in der bis zum 13. Juli 2013 geltenden Fassung weiter anzuwenden mit der Maßgabe, dass</w:t>
      </w:r>
    </w:p>
    <w:p>
      <w:pPr>
        <w:ind w:left="420"/>
      </w:pPr>
      <w:r>
        <w:t xml:space="preserve">1. auch derjenige, der Tierbörsen durchführt, ab dem 1. August 2014 die Anforderungen des § 11 Absatz 2 Nummer 1 in der vorstehend bezeichneten Fassung erfüllen muss und</w:t>
      </w:r>
    </w:p>
    <w:p>
      <w:pPr>
        <w:ind w:left="420"/>
      </w:pPr>
      <w:r>
        <w:t xml:space="preserve">2. derjenige, der gewerbsmäßig mit Wirbeltieren, außer landwirtschaftlichen Nutztieren, handelt, ab dem 1. August 2014 sicherzustellen hat, dass bei der erstmaligen Abgabe eines Wirbeltieres einer bestimmten Art an den jeweiligen künftigen Tierhalter mit dem Tier schriftliche Informationen über die wesentlichen Bedürfnisse des Tieres, insbesondere im Hinblick auf seine angemessene Ernährung und Pflege sowie verhaltensgerechte Unterbringung und artgemäße Bewegung, übergeben werden; dies gilt nicht bei der Abgabe an den Inhaber einer Erlaubnis nach § 11 Absatz 1 Satz 1 Nummer 3 Buchstabe b in der vorstehend bezeichneten Fassung.</w:t>
      </w:r>
    </w:p>
    <w:p>
      <w:r>
        <w:t xml:space="preserve">Bis zum Erlass einer Rechtsverordnung nach § 11 Absatz 2 Satz 1 Nummer 1 ist im Rahmen des § 11 Absatz 5 Satz 5 darauf abzustellen, ob der Antragsteller den Anforderungen des § 11 Absatz 1 Satz 2 und 3 in der bis zum 13. Juli 2013 geltenden Fassung nachgekommen ist.</w:t>
      </w:r>
    </w:p>
    <w:p>
      <w:r>
        <w:t xml:space="preserve">(6) § 11 Absatz 8 ist ab dem 1. Februar 2014 anzuwenden.</w:t>
      </w:r>
    </w:p>
    <w:p>
      <w:r>
        <w:t xml:space="preserve">(6a) Das Bundesministerium berichtet bis zum 31. März 2023 dem zuständigen Fachausschuss des Deutschen Bundestages über den Stand der Entwicklung von Verfahren und Methoden zur Geschlechtsbestimmung im Hühnerei vor dem siebten Bebrütungstag.</w:t>
      </w:r>
    </w:p>
    <w:p>
      <w:r>
        <w:t xml:space="preserve">(7) Vorbehaltlich des Satzes 3 und des Absatzes 8 sind die §§ 5, 6, 7, 7a, 8, 8a, 9, 10, 11, 15, 16, 16a und 18 in der sich jeweils aus Artikel 1 des Gesetzes zur Änderung des Tierschutzgesetzes – Schutz von Versuchstieren – vom 18. Juni 2021 (BGBl. I S. 1828) ergebenden Fassung erst ab dem 1. Dezember 2021 anzuwenden. Bis zu dem in Satz 1 genannten Zeitpunkt sind die dort genannten am 25. Juni 2021 geltenden Vorschriften weiter anzuwenden. Soweit Vorschriften dieses Gesetzes zum Erlass von Rechtsverordnungen ermächtigen, sind abweichend von Satz 1 die dort genannten Vorschriften in der dort genannten Fassung zum Zweck des Erlasses von Rechtsverordnungen ab dem 26. Juni 2021 anzuwenden.</w:t>
      </w:r>
    </w:p>
    <w:p>
      <w:r>
        <w:t xml:space="preserve">(8) Im Falle von Tierversuchen nach § 7 Absatz 2 Satz 1, auch in Verbindung mit Satz 2,</w:t>
      </w:r>
    </w:p>
    <w:p>
      <w:pPr>
        <w:ind w:left="420"/>
      </w:pPr>
      <w:r>
        <w:t xml:space="preserve">1. deren Genehmigung vor dem 1. Dezember 2021 erteilt worden ist oder</w:t>
      </w:r>
    </w:p>
    <w:p>
      <w:pPr>
        <w:ind w:left="420"/>
      </w:pPr>
      <w:r>
        <w:t xml:space="preserve">2. deren Durchführung vor dem 1. Dezember 2021 nach den bis zu diesem Tag anzuwendenden Vorschriften dieses Gesetzes angezeigt und von der zuständigen Behörde nicht beanstandet worden ist,</w:t>
      </w:r>
    </w:p>
    <w:p>
      <w:r>
        <w:t xml:space="preserve">sind abweichend von den §§ 7 bis 10 bis zum 1. Dezember 2023 die bis zum 1. Dezember 2021 anzuwendenden Vorschriften dieses Gesetzes weiter anzuwenden.</w:t>
      </w:r>
    </w:p>
    <w:p>
      <w:r>
        <w:rPr>
          <w:color w:val="555555"/>
          <w:sz w:val="17"/>
        </w:rPr>
        <w:t xml:space="preserve">Zitiervorschlag: § 21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