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16j TierSchG</w:t>
      </w:r>
    </w:p>
    <w:p>
      <w:r>
        <w:rPr>
          <w:color w:val="555555"/>
          <w:sz w:val="18"/>
        </w:rPr>
        <w:t xml:space="preserve">Tierschutzgesetz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Verwaltungsverfahren nach diesem Gesetz können in den Ländern über eine einheitliche Stelle abgewickelt werden.</w:t>
      </w:r>
    </w:p>
    <w:p>
      <w:r>
        <w:rPr>
          <w:color w:val="555555"/>
          <w:sz w:val="17"/>
        </w:rPr>
        <w:t xml:space="preserve">Zitiervorschlag: § 16j TierSchG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https://recht.nulegal.eu/gesetze/TierSchG/16j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