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16h TierSchG</w:t>
      </w:r>
    </w:p>
    <w:p>
      <w:r>
        <w:rPr>
          <w:color w:val="555555"/>
          <w:sz w:val="18"/>
        </w:rPr>
        <w:t xml:space="preserve">Tierschutzgesetz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§§ 16f und 16g gelten entsprechend für Staaten, die - ohne Mitgliedstaaten zu sein - Vertragsstaaten des Abkommens über den Europäischen Wirtschaftsraum sind.</w:t>
      </w:r>
    </w:p>
    <w:p>
      <w:r>
        <w:rPr>
          <w:color w:val="555555"/>
          <w:sz w:val="17"/>
        </w:rPr>
        <w:t xml:space="preserve">Zitiervorschlag: § 16h TierSchG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https://recht.nulegal.eu/gesetze/TierSchG/16h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