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16g TierSchG</w:t>
      </w:r>
    </w:p>
    <w:p>
      <w:r>
        <w:rPr>
          <w:color w:val="555555"/>
          <w:sz w:val="18"/>
        </w:rPr>
        <w:t xml:space="preserve">Tierschutzgesetz</w:t>
      </w:r>
    </w:p>
    <w:p>
      <w:r>
        <w:rPr>
          <w:color w:val="555555"/>
          <w:sz w:val="18"/>
        </w:rPr>
        <w:t xml:space="preserve">Stand: 10.06.2019 (konsolidierte Textfassung, kein amtliches Inkrafttretensdatum)</w:t>
      </w:r>
    </w:p>
    <w:p>
      <w:r>
        <w:t xml:space="preserve">(1) Der Verkehr mit den zuständigen Behörden anderer Mitgliedstaaten und der Europäischen Kommission obliegt dem Bundesministerium. Es kann diese Befugnis durch Rechtsverordnung ohne Zustimmung des Bundesrates auf das Bundesamt für Verbraucherschutz und Lebensmittelsicherheit und durch Rechtsverordnung mit Zustimmung des Bundesrates auf die zuständigen obersten Landesbehörden übertragen. Ferner kann es im Einzelfall im Benehmen mit der zuständigen obersten Landesbehörde dieser die Befugnis übertragen. Die obersten Landesbehörden können die Befugnis nach den Sätzen 2 und 3 auf andere Behörden übertragen.</w:t>
      </w:r>
    </w:p>
    <w:p>
      <w:r>
        <w:t xml:space="preserve">(2) Abweichend von Absatz 1 Satz 1 obliegt im Falle des Artikels 47 Absatz 5 der Richtlinie 2010/63/EU der Verkehr mit den zuständigen Behörden anderer Mitgliedstaaten und der Europäischen Kommission dem Bundesinstitut für Risikobewertung, soweit sich das Bundesministerium im Einzelfall nicht etwas anderes vorbehält.</w:t>
      </w:r>
    </w:p>
    <w:p>
      <w:r>
        <w:rPr>
          <w:color w:val="555555"/>
          <w:sz w:val="17"/>
        </w:rPr>
        <w:t xml:space="preserve">Zitiervorschlag: § 16g TierSchG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https://recht.nulegal.eu/gesetze/TierSchG/16g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