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16b TierSchG</w:t>
      </w:r>
    </w:p>
    <w:p>
      <w:r>
        <w:rPr>
          <w:color w:val="555555"/>
          <w:sz w:val="18"/>
        </w:rPr>
        <w:t xml:space="preserve">Tierschutzgesetz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beruft eine Tierschutzkommission zu seiner Unterstützung in Fragen des Tierschutzes. Vor dem Erlass von Rechtsverordnungen und allgemeinen Verwaltungsvorschriften nach diesem Gesetz hat das Bundesministerium die Tierschutzkommission anzuhören.</w:t>
      </w:r>
    </w:p>
    <w:p>
      <w:r>
        <w:t xml:space="preserve">(2) Das Bundesministerium wird ermächtigt, durch Rechtsverordnung ohne Zustimmung des Bundesrates das Nähere über Zusammensetzung, Berufung der Mitglieder, Aufgaben und Geschäftsführung der Tierschutzkommission zu regeln.</w:t>
      </w:r>
    </w:p>
    <w:p>
      <w:r>
        <w:rPr>
          <w:color w:val="555555"/>
          <w:sz w:val="17"/>
        </w:rPr>
        <w:t xml:space="preserve">Zitiervorschlag: § 16b TierSchG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https://recht.nulegal.eu/gesetze/TierSchG/16b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