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Das Bundesministerium der Finanzen und die von ihm bestimmten Zollstellen wirken bei der Überwachung der Einfuhr und Ausfuhr von Tieren mit. Die genannten Behörden können</w:t>
      </w:r>
    </w:p>
    <w:p>
      <w:pPr>
        <w:ind w:left="420"/>
      </w:pPr>
      <w:r>
        <w:t xml:space="preserve">1. Tiere sowie deren Beförderungsmittel, Behälter, Lade- und Verpackungsmittel bei der Einfuhr zur Überwachung anhalten,</w:t>
      </w:r>
    </w:p>
    <w:p>
      <w:pPr>
        <w:ind w:left="420"/>
      </w:pPr>
      <w:r>
        <w:t xml:space="preserve">2. den Verdacht von Verstößen gegen Verbote und Beschränkungen dieses Gesetzes oder der nach diesem Gesetz erlassenen Rechtsverordnungen, der sich bei der Abfertigung ergibt, den zuständigen Behörden mitteilen,</w:t>
      </w:r>
    </w:p>
    <w:p>
      <w:pPr>
        <w:ind w:left="420"/>
      </w:pPr>
      <w:r>
        <w:t xml:space="preserve">3. in den Fällen der Nummer 2 anordnen, dass die Tiere auf Kosten und Gefahr des Verfügungsberechtigten der zuständigen Behörde vorgeführt werden.</w:t>
      </w:r>
    </w:p>
    <w:p>
      <w:r>
        <w:t xml:space="preserve">(2) Das Bundesministerium der Finanzen regelt im Einvernehmen mit dem Bundesministerium durch Rechtsverordnung ohne Zustimmung des Bundesrates die Einzelheiten des Verfahrens nach Absatz 1. Es kann dabei insbesondere Pflichten zu Anzeigen, Anmeldungen, Auskünften und zur Leistung von Hilfsdiensten sowie zur Duldung der Einsichtnahme in Geschäftspapiere und sonstige Unterlagen und zur Duldung von Besichtigungen vorsehen.</w:t>
      </w:r>
    </w:p>
    <w:p>
      <w:r>
        <w:rPr>
          <w:color w:val="555555"/>
          <w:sz w:val="17"/>
        </w:rPr>
        <w:t xml:space="preserve">Zitiervorschlag: § 14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