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Das Bundesministerium wird ermächtigt, zur Verbesserung des Tierschutzes durch Rechtsverordnung mit Zustimmung des Bundesrates Anforderungen an freiwillige Prüfverfahren zu bestimmen, mit denen nachgewiesen wird, dass serienmäßig hergestellte Aufstallungssysteme und Stalleinrichtungen zum Halten von Nutztieren und beim Schlachten verwendete Betäubungsgeräte und -anlagen über die Anforderungen dieses Gesetzes und die Mindestanforderungen der auf Grund dieses Gesetzes erlassenen Rechtsverordnungen hinausgehen. Es hat hierbei insbesondere Kriterien, Verfahren und Umfang der freiwilligen Prüfverfahren sowie Anforderungen an die Sachkunde der im Rahmen derartiger Prüfverfahren tätigen Gutachter festzulegen.</w:t>
      </w:r>
    </w:p>
    <w:p>
      <w:r>
        <w:t xml:space="preserve">(2) Das Bundesministerium wird ermächtigt, durch Rechtsverordnung mit Zustimmung des Bundesrates zur Förderung der tierschutzgerechten Haltung das Inverkehrbringen und das Verwenden serienmäßig hergestellter Stalleinrichtungen zum Halten von Nutztieren von einer Zulassung oder Bauartzulassung abhängig zu machen. In der Rechtsverordnung nach Satz 1 können</w:t>
      </w:r>
    </w:p>
    <w:p>
      <w:pPr>
        <w:ind w:left="420"/>
      </w:pPr>
      <w:r>
        <w:t xml:space="preserve">1. die näheren Voraussetzungen für die Zulassung oder Bauartzulassung und deren Rücknahme, Widerruf oder Ruhen, ihre Bekanntmachung sowie das Zulassungsverfahren, insbesondere Art, Inhalt und Umfang der vorzulegenden Unterlagen oder beizubringenden Nachweise,</w:t>
      </w:r>
    </w:p>
    <w:p>
      <w:pPr>
        <w:ind w:left="420"/>
      </w:pPr>
      <w:r>
        <w:t xml:space="preserve">2. die Befristung der Zulassung oder Bauartzulassung,</w:t>
      </w:r>
    </w:p>
    <w:p>
      <w:pPr>
        <w:ind w:left="420"/>
      </w:pPr>
      <w:r>
        <w:t xml:space="preserve">3. die Folgen einer Aufhebung oder Befristung einer Zulassung oder einer Bauartzulassung im Hinblick auf das weitere Inverkehrbringen oder die weitere Verwendung in Verkehr gebrachter Stalleinrichtungen,</w:t>
      </w:r>
    </w:p>
    <w:p>
      <w:pPr>
        <w:ind w:left="420"/>
      </w:pPr>
      <w:r>
        <w:t xml:space="preserve">4. die Kennzeichnung der Stalleinrichtungen und das Beifügen von Gebrauchsanleitungen und deren Mindestinhalt zum Zwecke der bestimmungsgemäßen und sachgerechten Verwendung der Stalleinrichtungen,</w:t>
      </w:r>
    </w:p>
    <w:p>
      <w:pPr>
        <w:ind w:left="420"/>
      </w:pPr>
      <w:r>
        <w:t xml:space="preserve">5. Anforderungen an die bestimmungsgemäße und sachgerechte Verwendung der Stalleinrichtungen,</w:t>
      </w:r>
    </w:p>
    <w:p>
      <w:pPr>
        <w:ind w:left="420"/>
      </w:pPr>
      <w:r>
        <w:t xml:space="preserve">6. die Anerkennung und die Mitwirkung öffentlich-rechtlicher oder privatrechtlicher Einrichtungen bei der Erteilung der Zulassung oder der Bauartzulassung einschließlich des Verfahrens geregelt werden,</w:t>
      </w:r>
    </w:p>
    <w:p>
      <w:pPr>
        <w:ind w:left="420"/>
      </w:pPr>
      <w:r>
        <w:t xml:space="preserve">7. die Anerkennung serienmäßig hergestellter Stalleinrichtungen, die ein der Zulassung oder der Bauartzulassung entsprechendes Verfahren in einem anderen Mitgliedstaat, der Türkei oder einem EFTA-Staat, der das EWR-Übereinkommen unterzeichnet hat, durchlaufen haben,</w:t>
      </w:r>
    </w:p>
    <w:p>
      <w:r>
        <w:t xml:space="preserve">geregelt werden. Im Fall einer Regelung nach Satz 2 Nr. 7 kann die Anerkennung insbesondere davon abhängig gemacht werden, dass die Eigenschaften der serienmäßig hergestellten Stalleinrichtung den Anforderungen einer Rechtsverordnung nach Satz 2 Nr. 1 bis 4 gleichwertig sind.</w:t>
      </w:r>
    </w:p>
    <w:p>
      <w:r>
        <w:t xml:space="preserve">(3) Zuständig für die Erteilung der Zulassungen oder Bauartzulassungen ist die Bundesanstalt für Landwirtschaft und Ernährung. In der Rechtsverordnung nach Absatz 2 Satz 1 ist das Verfahren der Zusammenarbeit der nach Satz 1 zuständigen Behörde mit den für die Überwachung zuständigen Behörden der Länder zu regeln.</w:t>
      </w:r>
    </w:p>
    <w:p>
      <w:r>
        <w:t xml:space="preserve">(4) Das Bundesministerium wird ermächtigt, durch Rechtsverordnung, die nicht der Zustimmung des Bundesrates bedarf, Aufgaben und Befugnisse der nach Absatz 3 zuständigen Behörde auf eine juristische Person des privaten Rechts ganz oder teilweise zu übertragen. Die Aufgabenübertragung ist nur zulässig, soweit die juristische Person die notwendige Gewähr für die Erfüllung der Aufgaben nach diesem Gesetz bietet. Eine juristische Person bietet die notwendige Gewähr, wenn</w:t>
      </w:r>
    </w:p>
    <w:p>
      <w:pPr>
        <w:ind w:left="420"/>
      </w:pPr>
      <w:r>
        <w:t xml:space="preserve">1. die Personen, die nach Gesetz, Satzung oder Gesellschaftsvertrag die Geschäftsführung und Vertretung der juristischen Person ausüben, zuverlässig und fachlich geeignet sind,</w:t>
      </w:r>
    </w:p>
    <w:p>
      <w:pPr>
        <w:ind w:left="420"/>
      </w:pPr>
      <w:r>
        <w:t xml:space="preserve">2. sie die zur Erfüllung ihrer Aufgaben notwendige Ausstattung und Organisation hat.</w:t>
      </w:r>
    </w:p>
    <w:p>
      <w:r>
        <w:t xml:space="preserve">Die fachliche Eignung im Sinne des Satzes 3 Nummer 1 ist insbesondere gegeben, wenn die Personen über eine erfolgreich abgeschlossene Berufsausbildung im Bereich der Agrarwissenschaft – Fachrichtung Tierproduktion, der Veterinärmedizin oder der Biologie – Fachrichtung Zoologie – verfügen. Durch Rechtsverordnung nach Satz 1 kann sich das Bundesministerium die Genehmigung der Satzung oder des Gesellschaftsvertrages und deren Änderungen vorbehalten.</w:t>
      </w:r>
    </w:p>
    <w:p>
      <w:r>
        <w:t xml:space="preserve">(5) Das Bundesministerium wird ermächtigt, durch Rechtsverordnung mit Zustimmung des Bundesrates, soweit es zum Schutz der Tiere erforderlich ist, das Inverkehrbringen und das Verwenden serienmäßig hergestellter beim Schlachten verwendeter Betäubungsgeräte oder Betäubungsanlagen davon abhängig zu machen, dass die Geräte oder Anlagen zugelassen sind oder einer Bauartzulassung entsprechen, sowie die näheren Voraussetzungen für die Erteilung der Zulassung oder Bauartzulassung und das Zulassungsverfahren zu regeln. In der Rechtsverordnung nach Satz 1 können insbesondere Art, Inhalt und Umfang der vorzulegenden Unterlagen oder beizubringenden Nachweise näher bestimmt werden.</w:t>
      </w:r>
    </w:p>
    <w:p>
      <w:r>
        <w:t xml:space="preserve">(6) Die Absätze 1 und 5 gelten nicht für das Inverkehrbringen zum Zwecke des Verbringens in einen anderen Mitgliedstaat oder der Ausfuhr in ein Drittland.</w:t>
      </w:r>
    </w:p>
    <w:p>
      <w:r>
        <w:rPr>
          <w:color w:val="555555"/>
          <w:sz w:val="17"/>
        </w:rPr>
        <w:t xml:space="preserve">Zitiervorschlag: § 13a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