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Eingangsformel TierNebV</w:t>
      </w:r>
    </w:p>
    <w:p>
      <w:r>
        <w:rPr>
          <w:color w:val="555555"/>
          <w:sz w:val="18"/>
        </w:rPr>
        <w:t xml:space="preserve">Tierische Nebenprodukte-Beseitigungsverordnung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Es verordnen</w:t>
      </w:r>
    </w:p>
    <w:p>
      <w:pPr>
        <w:ind w:left="420"/>
      </w:pPr>
      <w:r>
        <w:t xml:space="preserve">- die Bundesregierung auf Grund des § 7 Abs. 1 Nr. 2, 3, 5 und 6 und des § 12 Abs. 1 des Kreislaufwirtschafts- und Abfallgesetzes vom 27. September 1994 (BGBl. I S. 2705), nach Anhörung der beteiligten Kreise,</w:t>
      </w:r>
    </w:p>
    <w:p>
      <w:pPr>
        <w:ind w:left="420"/>
      </w:pPr>
      <w:r>
        <w:t xml:space="preserve">- das Bundesministerium für Ernährung, Landwirtschaft und Verbraucherschutz</w:t>
      </w:r>
    </w:p>
    <w:p>
      <w:pPr>
        <w:ind w:left="780"/>
      </w:pPr>
      <w:r>
        <w:t xml:space="preserve">- auf Grund des § 13 Abs. 1 des Tierische Nebenprodukte-Beseitigungsgesetzes vom 25. Januar 2004 (BGBl. I S. 82), § 13 Abs. 1 geändert durch Artikel 16b des Gesetzes vom 13. April 2006 (BGBl. I S. 855), im Einvernehmen mit dem Bundesministerium für Umwelt, Naturschutz und Reaktorsicherheit,</w:t>
      </w:r>
    </w:p>
    <w:p>
      <w:pPr>
        <w:ind w:left="780"/>
      </w:pPr>
      <w:r>
        <w:t xml:space="preserve">- auf Grund des § 1a Abs. 3 und des § 5 Abs. 1 Nr. 2 des Düngemittelgesetzes vom 15. November 1977, von denen § 1a Abs. 3 durch § 11 Nr. 2 des Gesetzes vom 12. Juli 1989 (BGBl. I S. 1435) eingefügt und durch Artikel 183 der Verordnung vom 29. Oktober 2001 (BGBl. I S. 2785) und § 5 Abs. 1 Nr. 2 zuletzt durch Artikel 2 § 39 des Gesetzes vom 20. Juli 2000 (BGBl. I S. 1045) geändert worden sind, in Verbindung mit § 1 Abs. 2 des Zuständigkeitsanpassungsgesetzes vom 16. August 2002 (BGBl. I S. 3165) und dem Organisationserlass vom 22. November 2005 (BGBl. I S. 3197), hinsichtlich des § 1 Abs. 3 im Einvernehmen mit dem Bundesministerium für Umwelt, Naturschutz und Reaktorsicherheit,</w:t>
      </w:r>
    </w:p>
    <w:p>
      <w:pPr>
        <w:ind w:left="780"/>
      </w:pPr>
      <w:r>
        <w:t xml:space="preserve">- auf Grund des § 79 Abs. 1 Nr. 1 in Verbindung mit § 17 Abs. 1 Nr. 20 des Tierseuchengesetzes in der Fassung der Bekanntmachung vom 22. Juni 2004 (BGBl. I S. 1260),</w:t>
      </w:r>
    </w:p>
    <w:p>
      <w:pPr>
        <w:ind w:left="420"/>
      </w:pPr>
      <w:r>
        <w:t xml:space="preserve">- das Bundesministerium für Umwelt, Naturschutz und Reaktorsicherheit auf Grund des § 8 Abs. 1 in Verbindung mit Abs. 2 des Kreislaufwirtschafts- und Abfallgesetzes vom 27. September 1994 (BGBl. I S. 2705), § 8 Abs. 1 geändert durch Artikel 57 der Verordnung vom 29. Oktober 2001 (BGBl. I S. 2785), in Verbindung mit § 1 Abs. 2 des Zuständigkeitsanpassungsgesetzes vom 16. August 2002 (BGBl. I S. 3165) und dem Organisationserlass vom 22. November 2005 (BGBl. I S. 3197) im Einvernehmen mit dem Bundesministerium für Ernährung, Landwirtschaft und Verbraucherschutz, nach Anhörung der beteiligten Kreise:</w:t>
      </w:r>
    </w:p>
    <w:p>
      <w:r>
        <w:rPr>
          <w:color w:val="555555"/>
          <w:sz w:val="17"/>
        </w:rPr>
        <w:t xml:space="preserve">Zitiervorschlag: Eingangsformel TierNebV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https://recht.nulegal.eu/gesetze/TierNebV/eingangsformel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