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4 TierNebV — (zu § 23 Abs. 1) Liste der zur Verarbeitung in Biogas- und Kompostierungsanlagen zugelassenen tierischen Nebenprodukte, soweit die Fermentationsrückstände und Komposte aus den Anlagen zur Verwertung auf Böden bestimmt sind</w:t>
      </w:r>
    </w:p>
    <w:p>
      <w:r>
        <w:rPr>
          <w:color w:val="555555"/>
          <w:sz w:val="18"/>
        </w:rPr>
        <w:t xml:space="preserve">Tierische Nebenprodukte-Beseitigungsverordnung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Fundstelle des Originaltextes: BGBl. I 2006, 1751</w:t>
      </w:r>
    </w:p>
    <w:p>
      <w:pPr>
        <w:ind w:left="420"/>
      </w:pPr>
      <w:r>
        <w:t xml:space="preserve">1. Material der Kategorie 2 im Sinne des Artikels 5 Abs. 1 der Verordnung (EG) Nr. 1774/2002:</w:t>
      </w:r>
    </w:p>
    <w:p>
      <w:pPr>
        <w:ind w:left="780"/>
      </w:pPr>
      <w:r>
        <w:t xml:space="preserve">a) Gülle,</w:t>
      </w:r>
    </w:p>
    <w:p>
      <w:pPr>
        <w:ind w:left="780"/>
      </w:pPr>
      <w:r>
        <w:t xml:space="preserve">b) Magen- und Darminhalt sowie Panseninhalt,</w:t>
      </w:r>
    </w:p>
    <w:p>
      <w:pPr>
        <w:ind w:left="780"/>
      </w:pPr>
      <w:r>
        <w:t xml:space="preserve">c) Milch und Kolostrum,</w:t>
      </w:r>
    </w:p>
    <w:p>
      <w:pPr>
        <w:ind w:left="780"/>
      </w:pPr>
      <w:r>
        <w:t xml:space="preserve">d) sonstiges Material der Kategorie 2, das nach Verarbeitungsmethode 1 des Anhangs V Kapitel III der Verordnung (EG) Nr. 1774/2002 behandelt worden ist.</w:t>
      </w:r>
    </w:p>
    <w:p>
      <w:pPr>
        <w:ind w:left="420"/>
      </w:pPr>
      <w:r>
        <w:t xml:space="preserve">2. Material der Kategorie 3 im Sinne des Artikels 6 Abs. 1 der Verordnung (EG) Nr. 1774/2002.</w:t>
      </w:r>
    </w:p>
    <w:p>
      <w:r>
        <w:rPr>
          <w:color w:val="555555"/>
          <w:sz w:val="17"/>
        </w:rPr>
        <w:t xml:space="preserve">Zitiervorschlag: Anlage 4 TierNebV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https://recht.nulegal.eu/gesetze/TierNebV/anlage-4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