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TierNebV — Kennzeichnung von Verpackungen, Behältern oder Fahrzeugen</w:t>
      </w:r>
    </w:p>
    <w:p>
      <w:r>
        <w:rPr>
          <w:color w:val="555555"/>
          <w:sz w:val="18"/>
        </w:rPr>
        <w:t xml:space="preserve">Tierische Nebenprodukte-Beseitigungsverordnung</w:t>
      </w:r>
    </w:p>
    <w:p>
      <w:r>
        <w:rPr>
          <w:color w:val="555555"/>
          <w:sz w:val="18"/>
        </w:rPr>
        <w:t xml:space="preserve">Stand: 10.06.2019 (konsolidierte Textfassung, kein amtliches Inkrafttretensdatum)</w:t>
      </w:r>
    </w:p>
    <w:p>
      <w:r>
        <w:t xml:space="preserve">(1) Die natürliche oder juristische Person, in deren betrieblicher Verantwortung die Beförderung von nach Anhang II Kapitel I Nr. 2 der Verordnung (EG) Nr. 1774/2002 kennzeichnungspflichtigen tierischen Nebenprodukten oder verarbeiteten Erzeugnissen, die aus dem Inland stammen und im Inland verbleiben, liegt, hat sicherzustellen, dass die Verpackungen, Behälter oder Fahrzeuge, in denen tierische Nebenprodukte und verarbeitete Erzeugnisse befördert werden, neben der Kennzeichnung nach Anhang II Kapitel I Nr. 2 der Verordnung (EG) Nr. 1774/2002 nach Maßgabe des Absatzes 2 zusätzlich farblich gekennzeichnet sind. Satz 1 gilt nicht für</w:t>
      </w:r>
    </w:p>
    <w:p>
      <w:pPr>
        <w:ind w:left="420"/>
      </w:pPr>
      <w:r>
        <w:t xml:space="preserve">1. Verpackungen, Behälter oder Fahrzeuge,</w:t>
      </w:r>
    </w:p>
    <w:p>
      <w:pPr>
        <w:ind w:left="780"/>
      </w:pPr>
      <w:r>
        <w:t xml:space="preserve">a) die lediglich innerhalb einer Betriebsstätte eingesetzt werden, soweit die beförderten tierischen Nebenprodukte oder verarbeiteten Erzeugnisse identifizierbar sind,</w:t>
      </w:r>
    </w:p>
    <w:p>
      <w:pPr>
        <w:ind w:left="780"/>
      </w:pPr>
      <w:r>
        <w:t xml:space="preserve">b) in denen ganze Körper von verendeten oder zur unschädlichen Beseitigung getöteten Tieren, Gülle oder Küchen- und Speiseabfälle im Sinne des § 3 Absatz 1 oder des § 4 Absatz 1 befördert werden oder</w:t>
      </w:r>
    </w:p>
    <w:p>
      <w:pPr>
        <w:ind w:left="420"/>
      </w:pPr>
      <w:r>
        <w:t xml:space="preserve">2. Heimtierfutter in Verpackungen, die für die Abgabe an den Endverbraucher bestimmt sind, bei denen eine Identifizierung nach anderen gesetzlichen Vorschriften gewährleistet ist.</w:t>
      </w:r>
    </w:p>
    <w:p>
      <w:r>
        <w:t xml:space="preserve">Fahrzeuge, mit denen bereits gekennzeichnete Verpackungen oder Behälter befördert werden, bedürfen keiner Kennzeichnung.</w:t>
      </w:r>
    </w:p>
    <w:p>
      <w:r>
        <w:t xml:space="preserve">(2) Für die Kennzeichnung nach Absatz 1 Satz 1 gelten die Vorschriften des Anhanges II Kapitel 1 Nr. 1 Buchstabe d der Verordnung (EG) Nr. 1774/2002 entsprechend. Die Kennzeichnung muss bei der Verwendung von einmal zu verwendenden Behältnissen dauerhaft, bei der Verwendung von mehrmals zu verwendenden Behältnissen so angebracht sein, dass sie nicht leicht entfernt oder geändert werden kann. Soweit Verpackungen, Behälter oder Fahrzeuge nicht vollständig farblich gekennzeichnet sind, sind Aufdrucke, Schilder oder Aufkleber zu verwenden, die den Vorgaben des Anhanges II Kapitel 1 Nr. 1 Buchstabe d der Verordnung (EG) Nr. 1774/2002 entsprechend gefärbt, deutlich sichtbar und, zumindest für die Dauer der Beförderung, an den Verpackungen, Behältern oder Fahrzeugen haltbar befestigt sind. Die Aufdrucke, Schilder oder Aufkleber können zusätzlich mit den Angaben nach Anhang II Kapitel 1 Nr. 2 Buchstabe a und b der Verordnung (EG) Nr. 1774/2002 versehen sein.</w:t>
      </w:r>
    </w:p>
    <w:p>
      <w:r>
        <w:rPr>
          <w:color w:val="555555"/>
          <w:sz w:val="17"/>
        </w:rPr>
        <w:t xml:space="preserve">Zitiervorschlag: § 9a TierNebV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https://recht.nulegal.eu/gesetze/TierNebV/9a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