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TierNebV — Sonstige Küchen- und Speiseabfälle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Küchen- und Speiseabfälle der Kategorie 3, die nicht in privaten Haushaltungen anfallen und die in einer Biogas- oder Kompostierungsanlage behandelt werden, sind getrennt von sämtlichen Abfällen, die keine Küchen- und Speiseabfälle sind oder die in privaten Haushaltungen anfallen, zu halten, aufzubewahren, einzusammeln und zu befördern.</w:t>
      </w:r>
    </w:p>
    <w:p>
      <w:r>
        <w:t xml:space="preserve">(2) Küchen- und Speiseabfälle nach Absatz 1 sind von dem Betreiber einer nach § 7 registrierten Biogas- oder Kompostierungsanlage oder von dem Inhaber eines nach § 7 registrierten Betriebes unverzüglich nach der Bereitstellung durch die Besitzer der Küchen- und Speiseabfälle abzuholen, zu sammeln und zu befördern.</w:t>
      </w:r>
    </w:p>
    <w:p>
      <w:r>
        <w:t xml:space="preserve">(3) Wer Küchen- und Speiseabfälle nach Absatz 1 abholt, sammelt oder befördert, hat sicherzustellen, dass die Küchen- und Speiseabfälle</w:t>
      </w:r>
    </w:p>
    <w:p>
      <w:pPr>
        <w:ind w:left="420"/>
      </w:pPr>
      <w:r>
        <w:t xml:space="preserve">1. zusätzlich zu Anhang II Kapitel I Nr. 2 Buchstabe b Nr. i der Verordnung (EG) Nr. 1774/2002 als Küchen- und Speiseabfälle gekennzeichnet sind und</w:t>
      </w:r>
    </w:p>
    <w:p>
      <w:pPr>
        <w:ind w:left="420"/>
      </w:pPr>
      <w:r>
        <w:t xml:space="preserve">2. nach Maßgabe des Anhangs II Kapitel II Nr. 1 und 3 der Verordnung (EG) Nr. 1774/2002 in flüssigkeitsdichten Behältnissen befördert werden.</w:t>
      </w:r>
    </w:p>
    <w:p>
      <w:r>
        <w:t xml:space="preserve">(4) Fahrzeuge und Behälter sind nach Maßgabe des Anhangs II Kapitel II Nr. 2 der Verordnung (EG) Nr. 1774/2002 zu reinigen und zu desinfizieren.</w:t>
      </w:r>
    </w:p>
    <w:p>
      <w:r>
        <w:t xml:space="preserve">(5) Für Küchen- und Speiseabfälle nach Absatz 1 gelten § 3 Abs. 2 und 3, § 8 Abs. 2 sowie § 9 entsprechend.</w:t>
      </w:r>
    </w:p>
    <w:p>
      <w:r>
        <w:rPr>
          <w:color w:val="555555"/>
          <w:sz w:val="17"/>
        </w:rPr>
        <w:t xml:space="preserve">Zitiervorschlag: § 4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