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TierNebV — Inkrafttreten</w:t>
      </w:r>
    </w:p>
    <w:p>
      <w:r>
        <w:rPr>
          <w:color w:val="555555"/>
          <w:sz w:val="18"/>
        </w:rPr>
        <w:t xml:space="preserve">Tierische Nebenprodukte-Beseitigungsverordnung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29 TierNebV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https://recht.nulegal.eu/gesetze/TierNebV/29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