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TierNebV — Kompostierungsanlagen, in denen ausschließlich Küchen- und Speiseabfälle eingesetzt werden</w:t>
      </w:r>
    </w:p>
    <w:p>
      <w:r>
        <w:rPr>
          <w:color w:val="555555"/>
          <w:sz w:val="18"/>
        </w:rPr>
        <w:t xml:space="preserve">Tierische Nebenprodukte-Beseitigungsverordnung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Kompostierungsanlagen, in denen ausschließlich Küchen- und Speiseabfälle der Kategorie 3 eingesetzt werden, bedürfen nicht der Zulassung nach Artikel 15 Abs. 1 und 2 der Verordnung (EG) Nr. 1774/2002. Der Betreiber der Anlage hat die Anlage nach § 26 durch die zuständige Behörde registrieren zu lassen. Der Betreiber der Anlage hat sicherzustellen, dass</w:t>
      </w:r>
    </w:p>
    <w:p>
      <w:pPr>
        <w:ind w:left="420"/>
      </w:pPr>
      <w:r>
        <w:t xml:space="preserve">1. bereits kompostierte Küchen- und Speiseabfälle nicht mit nicht kompostierten tierischen Nebenprodukten in Berührung kommen,</w:t>
      </w:r>
    </w:p>
    <w:p>
      <w:pPr>
        <w:ind w:left="420"/>
      </w:pPr>
      <w:r>
        <w:t xml:space="preserve">2. die Anforderungen in Anhang VI Kapitel II Buchstabe B Nr. 5 bis 11 der Verordnung (EG) Nr. 1774/2002 eingehalten werden,</w:t>
      </w:r>
    </w:p>
    <w:p>
      <w:pPr>
        <w:ind w:left="420"/>
      </w:pPr>
      <w:r>
        <w:t xml:space="preserve">3. beim Verlassen der Anlage geeignete Einrichtungen zur Reinigung und Desinfektion von Fahrzeugen und Behältern zur Verfügung stehen.</w:t>
      </w:r>
    </w:p>
    <w:p>
      <w:r>
        <w:t xml:space="preserve">(2) Der Betreiber der Anlage hat ferner sicherzustellen, dass die Anforderungen an die Prozessführung nach Anhang 2 Nummer 2.2.2.1 der Bioabfallverordnung und an die Prozessüberwachung nach Anhang 2 Nummer 2.2.2.3 der Bioabfallverordnung entsprechend eingehalten werden.</w:t>
      </w:r>
    </w:p>
    <w:p>
      <w:r>
        <w:t xml:space="preserve">(3) Nicht pasteurisierte Küchen- und Speiseabfälle dürfen nur verarbeitet werden, wenn die Kompostierungsanlage als geschlossener Kompostierreaktor betrieben wird.</w:t>
      </w:r>
    </w:p>
    <w:p>
      <w:r>
        <w:rPr>
          <w:color w:val="555555"/>
          <w:sz w:val="17"/>
        </w:rPr>
        <w:t xml:space="preserve">Zitiervorschlag: § 17 TierNebV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https://recht.nulegal.eu/gesetze/TierNebV/17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