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TierNebV — Verarbeitung von tierischen Nebenprodukten in einer Kompostierungsanlage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Tierische Nebenprodukte dürfen in eine Kompostierungsanlage, die nicht den §§ 17 bis 19 unterfällt, nur verbracht werden, wenn</w:t>
      </w:r>
    </w:p>
    <w:p>
      <w:pPr>
        <w:ind w:left="420"/>
      </w:pPr>
      <w:r>
        <w:t xml:space="preserve">1. die Kompostierungsanlage nach Artikel 15 Abs. 1 und 2 in Verbindung mit Anhang VI Kapitel II Buchstabe A Nr. 2 der Verordnung (EG) Nr. 1774/2002 zugelassen ist und als geschlossener Kompostierreaktor betrieben wird oder</w:t>
      </w:r>
    </w:p>
    <w:p>
      <w:pPr>
        <w:ind w:left="420"/>
      </w:pPr>
      <w:r>
        <w:t xml:space="preserve">2. der Betreiber einer Kompostierungsanlage, die nach Artikel 15 Abs. 1 und 2 in Verbindung mit Anhang VI Kapitel II Buchstabe A Nr. 2 der Verordnung (EG) Nr. 1774/2002 zugelassen ist und in der andere Arten von Kompostierungssystemen als in Nummer 1 genannt verwendet werden, sicherstellt, dass</w:t>
      </w:r>
    </w:p>
    <w:p>
      <w:pPr>
        <w:ind w:left="780"/>
      </w:pPr>
      <w:r>
        <w:t xml:space="preserve">a) Material der Kategorie 3 vor Einbringung in die Anlage auf höchstens 12 Millimeter Teilchengröße zerkleinert wird,</w:t>
      </w:r>
    </w:p>
    <w:p>
      <w:pPr>
        <w:ind w:left="780"/>
      </w:pPr>
      <w:r>
        <w:t xml:space="preserve">b) die Kompostierungsanlage so betrieben wird, dass im Verlauf der Kompostierung eine Temperatur von mindestens 70 Grad Celsius über einen zusammenhängenden Zeitraum von mindestens 60 Minuten im gesamten Material einwirkt, und</w:t>
      </w:r>
    </w:p>
    <w:p>
      <w:pPr>
        <w:ind w:left="780"/>
      </w:pPr>
      <w:r>
        <w:t xml:space="preserve">c) ausreichende Maßnahmen zur Bekämpfung von Ungeziefer getroffen werden.</w:t>
      </w:r>
    </w:p>
    <w:p>
      <w:r>
        <w:rPr>
          <w:color w:val="555555"/>
          <w:sz w:val="17"/>
        </w:rPr>
        <w:t xml:space="preserve">Zitiervorschlag: § 16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