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TierNebV — Verarbeitungsmethoden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Material der Kategorie 1 sowie Material der Kategorie 2 mit Ausnahme von Milch der Kategorie 2, Kolostrum, Gülle und Magen- und Darminhalt, ist, soweit das Material nicht unmittelbar durch Verbrennen oder Mitverbrennen in einer nach den Vorgaben in Artikel 12 der Verordnung (EG) Nr. 1774/2002 zugelassenen Verbrennungsanlage oder Mitverbrennungsanlage beseitigt wird, nach der Verarbeitungsmethode 1 nach Anhang V Kapitel III der Verordnung (EG) Nr. 1774/2002 zu verarbeiten. Satz 1 ist nicht anzuwenden</w:t>
      </w:r>
    </w:p>
    <w:p>
      <w:pPr>
        <w:ind w:left="420"/>
      </w:pPr>
      <w:r>
        <w:t xml:space="preserve">1. in den Fällen des Artikels 23 Abs. 1 und 2 der Verordnung (EG) Nr. 1774/2002,</w:t>
      </w:r>
    </w:p>
    <w:p>
      <w:pPr>
        <w:ind w:left="420"/>
      </w:pPr>
      <w:r>
        <w:t xml:space="preserve">2. wenn die zuständige Behörde Ausnahmen nach Artikel 24 Abs. 1 der Verordnung (EG) Nr. 1774/2002 genehmigt hat,</w:t>
      </w:r>
    </w:p>
    <w:p>
      <w:pPr>
        <w:ind w:left="420"/>
      </w:pPr>
      <w:r>
        <w:t xml:space="preserve">3. wenn einzelne Körper von Heimtieren nach § 27 Abs. 3 vergraben werden oder</w:t>
      </w:r>
    </w:p>
    <w:p>
      <w:pPr>
        <w:ind w:left="420"/>
      </w:pPr>
      <w:r>
        <w:t xml:space="preserve">4. wenn ganze Körper oder Teile von Wildtieren, bei denen kein Verdacht auf eine Infektion mit auf Mensch oder Tier übertragbaren Krankheiten besteht, zur Herstellung von Jagdtrophäen verwendet werden.</w:t>
      </w:r>
    </w:p>
    <w:p>
      <w:r>
        <w:t xml:space="preserve">(2) Verarbeitetes Säugetiereiweiß aus Material der Kategorie 3, das ausschließlich zum Zweck der Verbrennung oder Mitverbrennung hergestellt wird, kann zusätzlich zur Verarbeitungsmethode 1 nach Anhang V Kapitel III der Verordnung (EG) Nr. 1774/2002 auch nach den Verarbeitungsmethoden 2 bis 5 oder 7 nach Anhang V Kapitel III der Verordnung (EG) Nr. 1774/2002 hergestellt werden. Für den Transport der Materialien zur Verbrennungsanlage oder Mitverbrennungsanlage gelten § 8 Abs. 2 und § 9 entsprechend.</w:t>
      </w:r>
    </w:p>
    <w:p>
      <w:r>
        <w:rPr>
          <w:color w:val="555555"/>
          <w:sz w:val="17"/>
        </w:rPr>
        <w:t xml:space="preserve">Zitiervorschlag: § 10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