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TierNebG — Ablieferungspflicht</w:t>
      </w:r>
    </w:p>
    <w:p>
      <w:r>
        <w:rPr>
          <w:color w:val="555555"/>
          <w:sz w:val="18"/>
        </w:rPr>
        <w:t xml:space="preserve">Tierische Nebenprodukte-Beseitigungsgesetz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eine Verarbeitung, Verwendung oder Beseitigung der in § 3 Absatz 1 Satz 1 bezeichneten tierischen Nebenprodukte oder Folgeprodukte vorgeschrieben ist und eine Abholungspflicht nach § 8 nicht besteht, ist der Besitzer von tierischen Nebenprodukten oder Folgeprodukten oder der nach § 7 Absatz 3 Meldepflichtige verpflichtet, diese bei einem von der zuständigen Behörde bestimmten Verarbeitungsbetrieb, zugelassenen Zwischenbehandlungsbetrieb oder einer von dieser bestimmten Verbrennungsanlage oder Mitverbrennungsanlage unverzüglich abzuliefern.</w:t>
      </w:r>
    </w:p>
    <w:p>
      <w:r>
        <w:t xml:space="preserve">(2) Die Pflicht nach Absatz 1 besteht nicht, wenn der Besitzer sichergestellt hat, dass die zuständige Behörde oder diejenige Person, der die Pflichten nach § 3 Absatz 3 übertragen worden sind, die tierischen Nebenprodukte oder Folgeprodukte abholt.</w:t>
      </w:r>
    </w:p>
    <w:p>
      <w:r>
        <w:rPr>
          <w:color w:val="555555"/>
          <w:sz w:val="17"/>
        </w:rPr>
        <w:t xml:space="preserve">Zitiervorschlag: § 9 TierNebG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