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TierNebG — Abholungspflicht</w:t>
      </w:r>
    </w:p>
    <w:p>
      <w:r>
        <w:rPr>
          <w:color w:val="555555"/>
          <w:sz w:val="18"/>
        </w:rPr>
        <w:t xml:space="preserve">Tierische Nebenprodukte-Beseitigungsgesetz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oder diejenige Person, der die Pflichten nach § 3 Absatz 3 übertragen worden sind, hat die in § 3 Absatz 1 Satz 1 bezeichneten tierischen Nebenprodukte und Folgeprodukte sowie die in § 3 Absatz 1 Satz 5 bezeichneten verendeten Tiere nach Maßgabe des Artikels 21 Absatz 1 bis 3 der Verordnung (EG) Nr. 1069/2009 unverzüglich abzuholen, zu sammeln, zu kennzeichnen, zu befördern und zu lagern. Satz 1 gilt nicht für die in § 7 Abs. 2 Nr. 4 bezeichneten Tiere sowie für kleine Heimtiere aus privaten Haushaltungen, mit Ausnahme von Hunden und Katzen.</w:t>
      </w:r>
    </w:p>
    <w:p>
      <w:r>
        <w:t xml:space="preserve">(2) Die zuständige Behörde oder diejenige Person, der die Pflichten nach § 3 Absatz 3 übertragen worden sind, hat ferner die in § 3 Absatz 1 Satz 1 bezeichneten tierischen Nebenprodukte oder Folgeprodukte sowie die in § 3 Absatz 1 Satz 5 bezeichneten verendeten Tiere, soweit sie in zugelassenen Zwischenbehandlungsbetrieben gelagert werden, zeitlich in solchen Abständen abzuholen, dass eine ordnungsgemäße Verarbeitung, Verwendung oder Beseitigung gesichert ist.</w:t>
      </w:r>
    </w:p>
    <w:p>
      <w:r>
        <w:t xml:space="preserve">(3) Bei der Abholung hat der Besitzer die in § 3 Absatz 1 Satz 1 bezeichneten tierischen Nebenprodukte und Folgeprodukte sowie die in § 3 Absatz 1 Satz 5 bezeichneten verendeten Tiere herauszugeben. Er hat die zuständige Behörde oder diejenige Person, der die Pflichten nach § 3 Absatz 3 übertragen worden sind, darüber hinaus unentgeltlich zu unterstützen, insbesondere bei der Heranschaffung der tierischen Nebenprodukte aus besonders verkehrsungünstig gelegenem Gelände bis zur nächsten befahrbaren Straße.</w:t>
      </w:r>
    </w:p>
    <w:p>
      <w:r>
        <w:rPr>
          <w:color w:val="555555"/>
          <w:sz w:val="17"/>
        </w:rPr>
        <w:t xml:space="preserve">Zitiervorschlag: § 8 TierNebG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