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TierNebG — Meldepflicht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Besitzer hat der zuständigen Behörde, in deren Einzugsbereich die in § 3 Absatz 1 Satz 1 bezeichneten tierischen Nebenprodukte oder Folgeprodukte anfallen, unverzüglich zu melden, wenn diese angefallen sind. In den Fällen des § 3 Absatz 3 ist die Meldung derjenigen Person gegenüber vorzunehmen, der die Pflichten nach § 3 Absatz 3 übertragen worden sind, soweit die Übertragung ortsüblich bekannt gemacht worden ist.</w:t>
      </w:r>
    </w:p>
    <w:p>
      <w:r>
        <w:t xml:space="preserve">(2) Der Meldung bedarf es nicht, wenn</w:t>
      </w:r>
    </w:p>
    <w:p>
      <w:pPr>
        <w:ind w:left="420"/>
      </w:pPr>
      <w:r>
        <w:t xml:space="preserve">1. die in § 3 Absatz 1 Satz 1 bezeichneten tierischen Nebenprodukte und Folgeprodukte regelmäßig abgeholt werden,</w:t>
      </w:r>
    </w:p>
    <w:p>
      <w:pPr>
        <w:ind w:left="420"/>
      </w:pPr>
      <w:r>
        <w:t xml:space="preserve">2. Tiere auf behördliche Anordnung getötet worden sind oder ihre Beseitigung behördlich angeordnet worden ist,</w:t>
      </w:r>
    </w:p>
    <w:p>
      <w:pPr>
        <w:ind w:left="420"/>
      </w:pPr>
      <w:r>
        <w:t xml:space="preserve">3. es sich um tierische Nebenprodukte oder Folgeprodukte handelt, die nach Artikel 16 Buchstabe f oder h, Artikel 17 Absatz 1, Artikel 18 Absatz 1 oder 2 oder Artikel 19 Absatz 1 der Verordnung (EG) Nr. 1069/2009 gesammelt, verwendet, verfüttert oder beseitigt werden sollen,</w:t>
      </w:r>
    </w:p>
    <w:p>
      <w:pPr>
        <w:ind w:left="420"/>
      </w:pPr>
      <w:r>
        <w:t xml:space="preserve">4. verendete Tiere von dem Besitzer bei der zuständigen Behörde abgeliefert werden,</w:t>
      </w:r>
    </w:p>
    <w:p>
      <w:pPr>
        <w:ind w:left="420"/>
      </w:pPr>
      <w:r>
        <w:t xml:space="preserve">5. verendete oder getötete Tiere zu diagnostischen Zwecken in eine staatliche Untersuchungseinrichtung oder in eine von der zuständigen Behörde bestimmte Untersuchungseinrichtung verbracht werden,</w:t>
      </w:r>
    </w:p>
    <w:p>
      <w:pPr>
        <w:ind w:left="420"/>
      </w:pPr>
      <w:r>
        <w:t xml:space="preserve">6. die Beseitigung toter Heimtiere durch Vergraben zugelassen ist.</w:t>
      </w:r>
    </w:p>
    <w:p>
      <w:r>
        <w:t xml:space="preserve">Absatz 1 Satz 2 gilt für die Ablieferung nach Satz 1 Nummer 4 entsprechend.</w:t>
      </w:r>
    </w:p>
    <w:p>
      <w:r>
        <w:t xml:space="preserve">(3) Fremde oder herrenlose Körper von Vieh, Hunden oder Katzen sind,</w:t>
      </w:r>
    </w:p>
    <w:p>
      <w:pPr>
        <w:ind w:left="420"/>
      </w:pPr>
      <w:r>
        <w:t xml:space="preserve">1. wenn sie auf einem Grundstück anfallen, von dem Grundstücksbesitzer,</w:t>
      </w:r>
    </w:p>
    <w:p>
      <w:pPr>
        <w:ind w:left="420"/>
      </w:pPr>
      <w:r>
        <w:t xml:space="preserve">2. wenn sie auf öffentlichen Straßen oder Plätzen anfallen, von dem Straßenbaulastträger,</w:t>
      </w:r>
    </w:p>
    <w:p>
      <w:pPr>
        <w:ind w:left="420"/>
      </w:pPr>
      <w:r>
        <w:t xml:space="preserve">3. wenn sie in Gewässern anfallen, von dem zur Unterhaltung Verpflichteten</w:t>
      </w:r>
    </w:p>
    <w:p>
      <w:r>
        <w:t xml:space="preserve">unverzüglich zu melden. Satz 1 gilt entsprechend für Körper</w:t>
      </w:r>
    </w:p>
    <w:p>
      <w:pPr>
        <w:ind w:left="420"/>
      </w:pPr>
      <w:r>
        <w:t xml:space="preserve">1. von Wild, soweit der Verdacht besteht, dass das Wild an einer Tierseuche erkrankt ist, oder</w:t>
      </w:r>
    </w:p>
    <w:p>
      <w:pPr>
        <w:ind w:left="420"/>
      </w:pPr>
      <w:r>
        <w:t xml:space="preserve">2. verendeter wild lebender Tiere, soweit die zuständige Behörde eine Allgemeinverfügung nach § 3 Absatz 1 Satz 5 getroffen hat.</w:t>
      </w:r>
    </w:p>
    <w:p>
      <w:r>
        <w:t xml:space="preserve">(4) Der Besitzer oder der nach Absatz 3 Meldepflichtige hat die in § 3 Absatz 1 Satz 1 bezeichneten tierischen Nebenprodukte oder Folgeprodukte der zuständigen Behörde zu überlassen. Absatz 1 Satz 2 gilt für die Überlassung entsprechend.</w:t>
      </w:r>
    </w:p>
    <w:p>
      <w:r>
        <w:rPr>
          <w:color w:val="555555"/>
          <w:sz w:val="17"/>
        </w:rPr>
        <w:t xml:space="preserve">Zitiervorschlag: § 7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