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TierNebG — Einzugsbereiche</w:t>
      </w:r>
    </w:p>
    <w:p>
      <w:r>
        <w:rPr>
          <w:color w:val="555555"/>
          <w:sz w:val="18"/>
        </w:rPr>
        <w:t xml:space="preserve">Tierische Nebenprodukte-Beseitigungsgesetz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Länder bestimmen die Einzugsbereiche, innerhalb derer die zuständige Behörde oder diejenige Person, der die Pflichten nach § 3 Absatz 3 übertragen worden sind, die in § 3 Absatz 1 Satz 1 bezeichneten tierischen Nebenprodukte oder Folgeprodukte nach den Vorgaben der in § 1 genannten Vorschriften abzuholen, zu sammeln, zu kennzeichnen, zu befördern, zu lagern, zu behandeln, zu verarbeiten, zu verwenden oder zu beseitigen hat.</w:t>
      </w:r>
    </w:p>
    <w:p>
      <w:r>
        <w:t xml:space="preserve">(2) Die Länder können ferner bestimmen, dass die in § 3 Absatz 1 Satz 1 bezeichneten tierischen Nebenprodukte oder Folgeprodukte auch in Verarbeitungsbetrieben, Verbrennungsanlagen oder Mitverbrennungsanlagen außerhalb des Einzugsbereichs nach Absatz 1 behandelt, verarbeitet, verwendet oder beseitigt werden darf.</w:t>
      </w:r>
    </w:p>
    <w:p>
      <w:r>
        <w:rPr>
          <w:color w:val="555555"/>
          <w:sz w:val="17"/>
        </w:rPr>
        <w:t xml:space="preserve">Zitiervorschlag: § 6 TierNebG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