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TierNebG — Grundsatz für den Umgang mit tierischen Nebenprodukten und Folgeprodukten</w:t>
      </w:r>
    </w:p>
    <w:p>
      <w:r>
        <w:rPr>
          <w:color w:val="555555"/>
          <w:sz w:val="18"/>
        </w:rPr>
        <w:t xml:space="preserve">Tierische Nebenprodukte-Beseitigungsgesetz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verboten,</w:t>
      </w:r>
    </w:p>
    <w:p>
      <w:pPr>
        <w:ind w:left="420"/>
      </w:pPr>
      <w:r>
        <w:t xml:space="preserve">1. tierische Nebenprodukte der Kategorie 1 im Sinne des Artikels 8 der Verordnung (EG) Nr. 1069/2009,</w:t>
      </w:r>
    </w:p>
    <w:p>
      <w:pPr>
        <w:ind w:left="420"/>
      </w:pPr>
      <w:r>
        <w:t xml:space="preserve">2. tierische Nebenprodukte der Kategorie 2 im Sinne des Artikels 9 der Verordnung (EG) Nr. 1069/2009 oder</w:t>
      </w:r>
    </w:p>
    <w:p>
      <w:pPr>
        <w:ind w:left="420"/>
      </w:pPr>
      <w:r>
        <w:t xml:space="preserve">3. Folgeprodukte tierischer Nebenprodukte im Sinne der Nummer 1 oder 2</w:t>
      </w:r>
    </w:p>
    <w:p>
      <w:r>
        <w:t xml:space="preserve">so abzuholen, zu sammeln, zu kennzeichnen, zu befördern, zu lagern, zu behandeln, zu verarbeiten, zu verwenden oder zu beseitigen, dass dadurch Leben oder Gesundheit eines anderen oder Tiere oder fremde Sachen von bedeutendem Wert gefährdet werden.</w:t>
      </w:r>
    </w:p>
    <w:p>
      <w:r>
        <w:rPr>
          <w:color w:val="555555"/>
          <w:sz w:val="17"/>
        </w:rPr>
        <w:t xml:space="preserve">Zitiervorschlag: § 2a TierNebG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https://recht.nulegal.eu/gesetze/TierNebG/2a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