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TierNebG — Bekanntmachungen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Außer Kraft: § 17 ist seit 07.01.2023 nicht mehr im TierNebG enthalten. Angezeigt wird die letzte bekannte Fassung, Stand 10.06.2019.</w:t>
      </w:r>
    </w:p>
    <w:p>
      <w:r>
        <w:t xml:space="preserve">Rechtsverordnungen nach diesem Gesetz können abweichend von § 2 Absatz 1 des Verkündungs- und Bekanntmachungsgesetzes im Bundesanzeiger verkündet werden.</w:t>
      </w:r>
    </w:p>
    <w:p>
      <w:r>
        <w:rPr>
          <w:color w:val="555555"/>
          <w:sz w:val="17"/>
        </w:rPr>
        <w:t xml:space="preserve">Zitiervorschlag: § 17 TierNebG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