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TierNebG — Übergangsvorschriften</w:t>
      </w:r>
    </w:p>
    <w:p>
      <w:r>
        <w:rPr>
          <w:color w:val="555555"/>
          <w:sz w:val="18"/>
        </w:rPr>
        <w:t xml:space="preserve">Tierische Nebenprodukte-Beseitigungsgesetz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Bis zum Erlass landesrechtlicher Vorschriften zur Ausführung des § 3 Absatz 1, längstens drei Jahre nach dem 12. Februar 2017, gelten die nach § 3 Absatz 1 Satz 1 dieses Gesetzes in der bis zum 11. August 2016 geltenden Fassung nach Landesrecht zuständigen Körperschaften als zuständige Behörde im Sinne des § 3 Absatz 1 Satz 2.</w:t>
      </w:r>
    </w:p>
    <w:p>
      <w:r>
        <w:t xml:space="preserve">(2) Eine Übertragung der Beseitigungspflicht nach § 3 Absatz 2 dieses Gesetzes in der bis zum 11. August 2016 geltenden Fassung gilt als Übertragung nach § 3 Absatz 3 dieses Gesetzes fort.</w:t>
      </w:r>
    </w:p>
    <w:p>
      <w:r>
        <w:t xml:space="preserve">(3) Ein nach § 6 dieses Gesetzes in der bis zum 11. August 2016 geltenden Fassung nach landesrechtlichen Vorschriften bestimmter Einzugsbereich gilt als Einzugsbereich im Sinne dieses Gesetzes.</w:t>
      </w:r>
    </w:p>
    <w:p>
      <w:r>
        <w:rPr>
          <w:color w:val="555555"/>
          <w:sz w:val="17"/>
        </w:rPr>
        <w:t xml:space="preserve">Zitiervorschlag: § 16 TierNebG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