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TierNebG — Strafvorschriften</w:t>
      </w:r>
    </w:p>
    <w:p>
      <w:r>
        <w:rPr>
          <w:color w:val="555555"/>
          <w:sz w:val="18"/>
        </w:rPr>
        <w:t xml:space="preserve">Tierische Nebenprodukte-Beseitigungsgesetz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einem Jahr oder mit Geldstrafe wird bestraft, wer entgegen § 2a ein dort bezeichnetes tierisches Nebenprodukt oder Folgeprodukt abholt, sammelt, kennzeichnet, befördert, lagert, behandelt, verarbeitet, verwendet oder beseitigt.</w:t>
      </w:r>
    </w:p>
    <w:p>
      <w:r>
        <w:rPr>
          <w:color w:val="555555"/>
          <w:sz w:val="17"/>
        </w:rPr>
        <w:t xml:space="preserve">Zitiervorschlag: § 13a TierNebG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https://recht.nulegal.eu/gesetze/TierNebG/13a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