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TierNebG — Geltungsbereich</w:t>
      </w:r>
    </w:p>
    <w:p>
      <w:r>
        <w:rPr>
          <w:color w:val="555555"/>
          <w:sz w:val="18"/>
        </w:rPr>
        <w:t xml:space="preserve">Tierische Nebenprodukte-Beseitigungsgesetz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dient der Durchführung der Verordnung (EG) Nr. 1069/2009 des Europäischen Parlaments und des Rates vom 21. Oktober 2009 mit Hygienevorschriften für nicht für den menschlichen Verzehr bestimmte tierische Nebenprodukte und zur Aufhebung der Verordnung (EG) Nr. 1774/2002 (Verordnung über tierische Nebenprodukte) (ABl. L 300 vom 14.11.2009, S. 1, L 348 vom 4.12.2014, S. 31), die zuletzt durch die Verordnung (EU) Nr. 1385/2013 (ABl. L 354 vom 28.12.2013, S. 86) geändert worden ist, und der in ihrem Rahmen oder zu ihrer Durchführung erlassenen unmittelbar geltenden Rechtsakte der Europäischen Gemeinschaft oder der Europäischen Union.</w:t>
      </w:r>
    </w:p>
    <w:p>
      <w:r>
        <w:rPr>
          <w:color w:val="555555"/>
          <w:sz w:val="17"/>
        </w:rPr>
        <w:t xml:space="preserve">Zitiervorschlag: § 1 TierNebG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https://recht.nulegal.eu/gesetze/TierNebG/1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