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TierNebBußV</w:t>
      </w:r>
    </w:p>
    <w:p>
      <w:r>
        <w:rPr>
          <w:color w:val="555555"/>
          <w:sz w:val="18"/>
        </w:rPr>
        <w:t xml:space="preserve">Tierische Nebenprodukte-Bußgeldverordnung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Ordnungswidrig im Sinne des § 14 Abs. 2 Nr. 6 des Tierische Nebenprodukte-Beseitigungsgesetzes handelt, wer gegen die Verordnung (EG) Nr. 1774/2002 verstößt, indem er vorsätzlich oder fahrlässig</w:t>
      </w:r>
    </w:p>
    <w:p>
      <w:pPr>
        <w:ind w:left="420"/>
      </w:pPr>
      <w:r>
        <w:t xml:space="preserve">1. entgegen Artikel 7 Abs. 2 in Verbindung mit Anhang II Kapitel III Nummer 1, 2, 3 Satz 2 oder Nummer 5 ein tierisches Nebenprodukt oder ein verarbeitetes Erzeugnis ohne das dort genannte Handelspapier oder die dort genannte Veterinärbescheinigung befördert,</w:t>
      </w:r>
    </w:p>
    <w:p>
      <w:pPr>
        <w:ind w:left="420"/>
      </w:pPr>
      <w:r>
        <w:t xml:space="preserve">2. entgegen Artikel 9 Abs. 1 in Verbindung mit Anhang II Kapitel IV oder V eine Aufzeichnung nicht, nicht richtig oder nicht vollständig führt oder nicht oder nicht mindestens zwei Jahre zur Verfügung hält oder</w:t>
      </w:r>
    </w:p>
    <w:p>
      <w:pPr>
        <w:ind w:left="420"/>
      </w:pPr>
      <w:r>
        <w:t xml:space="preserve">3. einer mit einer Erlaubnis nach Artikel 24 Abs. 1 verbundenen vollziehbaren Auflage zuwiderhandelt.</w:t>
      </w:r>
    </w:p>
    <w:p>
      <w:r>
        <w:rPr>
          <w:color w:val="555555"/>
          <w:sz w:val="17"/>
        </w:rPr>
        <w:t xml:space="preserve">Zitiervorschlag: § 2 TierNebBußV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https://recht.nulegal.eu/gesetze/TierNebBu%C3%9FV/2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