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TierImpfStV 2006 — Inkrafttreten, Außerkrafttreten</w:t>
      </w:r>
    </w:p>
    <w:p>
      <w:r>
        <w:rPr>
          <w:color w:val="555555"/>
          <w:sz w:val="18"/>
        </w:rPr>
        <w:t xml:space="preserve">Tiergesundheitliche-In-vitro-Diagnostika-Verordnung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49 TierImpfStV 2006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https://recht.nulegal.eu/gesetze/TierImpfStV%202006/49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