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TierImpfStV 2006 — Inhalt der Herstellungserlaubnis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Herstellungserlaubnis beinhaltet mindestens:</w:t>
      </w:r>
    </w:p>
    <w:p>
      <w:pPr>
        <w:ind w:left="420"/>
      </w:pPr>
      <w:r>
        <w:t xml:space="preserve">1. die Nummer der Herstellungserlaubnis,</w:t>
      </w:r>
    </w:p>
    <w:p>
      <w:pPr>
        <w:ind w:left="420"/>
      </w:pPr>
      <w:r>
        <w:t xml:space="preserve">2. den Namen und die Anschrift des Herstellers,</w:t>
      </w:r>
    </w:p>
    <w:p>
      <w:pPr>
        <w:ind w:left="420"/>
      </w:pPr>
      <w:r>
        <w:t xml:space="preserve">3. die Anschrift der Betriebsstätte, auf die sich die Herstellungserlaubnis bezieht,</w:t>
      </w:r>
    </w:p>
    <w:p>
      <w:pPr>
        <w:ind w:left="420"/>
      </w:pPr>
      <w:r>
        <w:t xml:space="preserve">4. Angaben zum Herstellungsleiter,</w:t>
      </w:r>
    </w:p>
    <w:p>
      <w:pPr>
        <w:ind w:left="420"/>
      </w:pPr>
      <w:r>
        <w:t xml:space="preserve">5. Angaben zum Kontrollleiter,</w:t>
      </w:r>
    </w:p>
    <w:p>
      <w:pPr>
        <w:ind w:left="420"/>
      </w:pPr>
      <w:r>
        <w:t xml:space="preserve">6. Angaben zur sachkundigen Person,</w:t>
      </w:r>
    </w:p>
    <w:p>
      <w:pPr>
        <w:ind w:left="420"/>
      </w:pPr>
      <w:r>
        <w:t xml:space="preserve">7. die Angabe der In-vitro-Diagnostika mit allgemein verständlicher Bezeichnung, auf die sich die Herstellungserlaubnis bezieht,</w:t>
      </w:r>
    </w:p>
    <w:p>
      <w:pPr>
        <w:ind w:left="420"/>
      </w:pPr>
      <w:r>
        <w:t xml:space="preserve">8. Angaben zum Herstellungsverfahren und Prüfverfahren der In-vitro-Diagnostika, auf die sich die Herstellungserlaubnis bezieht,</w:t>
      </w:r>
    </w:p>
    <w:p>
      <w:pPr>
        <w:ind w:left="420"/>
      </w:pPr>
      <w:r>
        <w:t xml:space="preserve">9. Nebenbestimmungen.</w:t>
      </w:r>
    </w:p>
    <w:p>
      <w:r>
        <w:t xml:space="preserve">(2) Die zuständige Behörde übermittelt dem Bundesministerium für Ernährung und Landwirtschaft eine Durchschrift der Herstellungserlaubnis zur Weiterleitung an die Agentur.</w:t>
      </w:r>
    </w:p>
    <w:p>
      <w:r>
        <w:t xml:space="preserve">(3) Eine von der zuständigen Behörde vor dem 30. Oktober 2006 erteilte Herstellungserlaubnis gilt als Herstellungserlaubnis nach dieser Verordnung fort.</w:t>
      </w:r>
    </w:p>
    <w:p>
      <w:r>
        <w:rPr>
          <w:color w:val="555555"/>
          <w:sz w:val="17"/>
        </w:rPr>
        <w:t xml:space="preserve">Zitiervorschlag: § 4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