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TierImpfStV 2006 — Rücknahme und Widerruf der Freigabe</w:t>
      </w:r>
    </w:p>
    <w:p>
      <w:r>
        <w:rPr>
          <w:color w:val="555555"/>
          <w:sz w:val="18"/>
        </w:rPr>
        <w:t xml:space="preserve">Tiergesundheitliche-In-vitro-Diagnostika-Verordnung</w:t>
      </w:r>
    </w:p>
    <w:p>
      <w:r>
        <w:rPr>
          <w:color w:val="555555"/>
          <w:sz w:val="18"/>
        </w:rPr>
        <w:t xml:space="preserve">Stand: 14.03.2026 (konsolidierte Textfassung, kein amtliches Inkrafttretensdatum)</w:t>
      </w:r>
    </w:p>
    <w:p>
      <w:r>
        <w:t xml:space="preserve">(1) Die zuständige Zulassungsstelle kann die Freigabe einer Charge zurücknehmen, wenn nachträglich bekannt wird, dass</w:t>
      </w:r>
    </w:p>
    <w:p>
      <w:pPr>
        <w:ind w:left="420"/>
      </w:pPr>
      <w:r>
        <w:t xml:space="preserve">1. die Charge nicht die angegebene Zusammensetzung nach Art oder Menge besitzt,</w:t>
      </w:r>
    </w:p>
    <w:p>
      <w:pPr>
        <w:ind w:left="420"/>
      </w:pPr>
      <w:r>
        <w:t xml:space="preserve">2. der Charge die Wirksamkeit fehlt,</w:t>
      </w:r>
    </w:p>
    <w:p>
      <w:pPr>
        <w:ind w:left="420"/>
      </w:pPr>
      <w:r>
        <w:t xml:space="preserve">3. die Charge nicht die erforderliche Qualität aufweist oder</w:t>
      </w:r>
    </w:p>
    <w:p>
      <w:pPr>
        <w:ind w:left="420"/>
      </w:pPr>
      <w:r>
        <w:t xml:space="preserve">4. Anhaltspunkte dafür bestehen, dass die Charge bei bestimmungsgemäßem Gebrauch zu unrichtigen Befunden führt, die über ein nach dem Stand der wissenschaftlichen Erkenntnisse vertretbares Maß hinausgehen.</w:t>
      </w:r>
    </w:p>
    <w:p>
      <w:r>
        <w:t xml:space="preserve">Die zuständige Zulassungsstelle kann die Freigabe einer Charge widerrufen, wenn einer der Gründe für die Rücknahme nach Satz 1 nachträglich eingetreten ist. Im Übrigen bleiben die verwaltungsverfahrensrechtlichen Vorschriften über die Aufhebung von Verwaltungsakten unberührt.</w:t>
      </w:r>
    </w:p>
    <w:p>
      <w:r>
        <w:t xml:space="preserve">(2) Die zuständige Zulassungsstelle hat die zuständige Behörde über die Rücknahme oder den Widerruf der Freigabe einer Charge einschließlich der für die Rücknahme oder den Widerruf maßgeblichen Gründe zu unterrichten.</w:t>
      </w:r>
    </w:p>
    <w:p>
      <w:r>
        <w:rPr>
          <w:color w:val="555555"/>
          <w:sz w:val="17"/>
        </w:rPr>
        <w:t xml:space="preserve">Zitiervorschlag: § 34 TierImpfStV 2006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https://recht.nulegal.eu/gesetze/TierImpfStV%202006/34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