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29a TierImpfStV 2006 — Änderung der Zulassung eines In-vitro-Diagnostikums</w:t>
      </w:r>
    </w:p>
    <w:p>
      <w:r>
        <w:rPr>
          <w:color w:val="555555"/>
          <w:sz w:val="18"/>
        </w:rPr>
        <w:t xml:space="preserve">Tiergesundheitliche-In-vitro-Diagnostika-Verordnung</w:t>
      </w:r>
    </w:p>
    <w:p>
      <w:r>
        <w:rPr>
          <w:color w:val="555555"/>
          <w:sz w:val="18"/>
        </w:rPr>
        <w:t xml:space="preserve">Stand: 14.03.2026 (konsolidierte Textfassung, kein amtliches Inkrafttretensdatum)</w:t>
      </w:r>
    </w:p>
    <w:p>
      <w:r>
        <w:t xml:space="preserve">(1) Soweit sich Änderungen gegenüber den Angaben und Unterlagen nach § 20 Absatz 3 oder der Zusammenfassung nach § 21 ergeben, hat der Zulassungsinhaber dies der zuständigen Zulassungsstelle unverzüglich anzuzeigen. Der Anzeige sind die Angaben und Unterlagen beizufügen, die die Änderungen belegen.</w:t>
      </w:r>
    </w:p>
    <w:p>
      <w:r>
        <w:t xml:space="preserve">(2) Die folgenden Änderungen dürfen erst vollzogen werden, wenn die zuständige Zulassungsstelle zugestimmt hat:</w:t>
      </w:r>
    </w:p>
    <w:p>
      <w:pPr>
        <w:ind w:left="420"/>
      </w:pPr>
      <w:r>
        <w:t xml:space="preserve">1. Änderung des Herstellungsverfahrens,</w:t>
      </w:r>
    </w:p>
    <w:p>
      <w:pPr>
        <w:ind w:left="420"/>
      </w:pPr>
      <w:r>
        <w:t xml:space="preserve">2. Änderung des Anwendungsgebiets,</w:t>
      </w:r>
    </w:p>
    <w:p>
      <w:pPr>
        <w:ind w:left="420"/>
      </w:pPr>
      <w:r>
        <w:t xml:space="preserve">3. Änderung der Haltbarkeitsdauer, sofern diese verlängert werden soll,</w:t>
      </w:r>
    </w:p>
    <w:p>
      <w:pPr>
        <w:ind w:left="420"/>
      </w:pPr>
      <w:r>
        <w:t xml:space="preserve">4. Änderung der Kennzeichnung,</w:t>
      </w:r>
    </w:p>
    <w:p>
      <w:pPr>
        <w:ind w:left="420"/>
      </w:pPr>
      <w:r>
        <w:t xml:space="preserve">5. Änderung der Packungsbeilage.</w:t>
      </w:r>
    </w:p>
    <w:p>
      <w:r>
        <w:t xml:space="preserve">(3) Im Fall der Änderung der Bezeichnung des In-vitro-Diagnostikums darf das In-vitro-Diagnostikum noch zwei Jahre, beginnend mit dem auf die Bekanntmachung der Änderung im Bundesanzeiger folgenden 1. Januar oder 1. Juli, unter der bisherigen Bezeichnung abgegeben werden.</w:t>
      </w:r>
    </w:p>
    <w:p>
      <w:r>
        <w:t xml:space="preserve">(4) Im Fall einer Änderung der wirksamen Bestandteile des In-vitro-Diagnostikums im Sinne der Nummer 4 der Anlage 1 ist eine neue Zulassung zu beantragen.</w:t>
      </w:r>
    </w:p>
    <w:p>
      <w:r>
        <w:rPr>
          <w:color w:val="555555"/>
          <w:sz w:val="17"/>
        </w:rPr>
        <w:t xml:space="preserve">Zitiervorschlag: § 29a TierImpfStV 2006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https://recht.nulegal.eu/gesetze/TierImpfStV%202006/29a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