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TierImpfStV 2006 — Rücknahme, Widerruf und Ruhen der Zulassung</w:t>
      </w:r>
    </w:p>
    <w:p>
      <w:r>
        <w:rPr>
          <w:color w:val="555555"/>
          <w:sz w:val="18"/>
        </w:rPr>
        <w:t xml:space="preserve">Tiergesundheitliche-In-vitro-Diagnostika-Verordnung</w:t>
      </w:r>
    </w:p>
    <w:p>
      <w:r>
        <w:rPr>
          <w:color w:val="555555"/>
          <w:sz w:val="18"/>
        </w:rPr>
        <w:t xml:space="preserve">Stand: 14.03.2026 (konsolidierte Textfassung, kein amtliches Inkrafttretensdatum)</w:t>
      </w:r>
    </w:p>
    <w:p>
      <w:r>
        <w:t xml:space="preserve">(1) Die zuständige Zulassungsstelle hat die Zulassung nach § 23 zurückzunehmen, wenn nachträglich bekannt wird, dass einer der Versagungsgründe des § 23 Absatz 1 Satz 1 Nummer 2, 3 oder 4 oder Satz 2 vorgelegen hat. Sie hat die Zulassung nach § 23 zu widerrufen, wenn einer der Versagungsgründe nach § 23 Absatz 1 Satz 1 nachträglich eingetreten ist.</w:t>
      </w:r>
    </w:p>
    <w:p>
      <w:r>
        <w:t xml:space="preserve">(2) Die zuständige Zulassungsstelle kann die Zulassung nach § 23</w:t>
      </w:r>
    </w:p>
    <w:p>
      <w:pPr>
        <w:ind w:left="420"/>
      </w:pPr>
      <w:r>
        <w:t xml:space="preserve">1. zurücknehmen, sofern in den Unterlagen nach § 20 Absatz 3 oder 5 Satz 1 Nummer 3 oder § 21 unrichtige oder unvollständige Angaben gemacht worden sind,</w:t>
      </w:r>
    </w:p>
    <w:p>
      <w:pPr>
        <w:ind w:left="420"/>
      </w:pPr>
      <w:r>
        <w:t xml:space="preserve">2. widerrufen, sofern</w:t>
      </w:r>
    </w:p>
    <w:p>
      <w:pPr>
        <w:ind w:left="780"/>
      </w:pPr>
      <w:r>
        <w:t xml:space="preserve">a) eine der nach § 23 Absatz 2 Satz 2 oder Absatz 4 erteilten Auflagen nicht oder nicht fristgerecht erfüllt worden ist,</w:t>
      </w:r>
    </w:p>
    <w:p>
      <w:pPr>
        <w:ind w:left="780"/>
      </w:pPr>
      <w:r>
        <w:t xml:space="preserve">b) die Vorschriften über die Kennzeichnung oder die Packungsbeilage des In-vitro-Diagnostikums nicht eingehalten worden sind und dieser Mangel nicht innerhalb einer von der zuständigen Zulassungsstelle festgesetzten Frist behoben worden ist,</w:t>
      </w:r>
    </w:p>
    <w:p>
      <w:pPr>
        <w:ind w:left="780"/>
      </w:pPr>
      <w:r>
        <w:t xml:space="preserve">c) der zuständigen Zulassungsstelle nicht alle neuen Tatsachen nach § 28 Absatz 1 mitgeteilt worden sind oder</w:t>
      </w:r>
    </w:p>
    <w:p>
      <w:pPr>
        <w:ind w:left="780"/>
      </w:pPr>
      <w:r>
        <w:t xml:space="preserve">d) gegen sonstige Vorschriften über die Herstellung und Prüfung des In-vitro-Diagnostikums verstoßen worden ist.</w:t>
      </w:r>
    </w:p>
    <w:p>
      <w:r>
        <w:t xml:space="preserve">(3) Anstelle der Rücknahme nach Absatz 1 Satz 1 oder Absatz 2 Nummer 1 oder des Widerrufs nach Absatz 1 Satz 2 oder Absatz 2 Nummer 2 kann die zuständige Zulassungsstelle bis zur Beseitigung der Rücknahme- oder Widerrufsgründe das Ruhen der Zulassung anordnen.</w:t>
      </w:r>
    </w:p>
    <w:p>
      <w:r>
        <w:t xml:space="preserve">(4) In den Fällen des Absatzes 2 Nummer 2 Buchstabe b ist § 49 Absatz 6 des Verwaltungsverfahrensgesetzes nicht anzuwenden. Im Übrigen bleiben die verwaltungsverfahrensrechtlichen Vorschriften über die Aufhebung von Verwaltungsakten unberührt.</w:t>
      </w:r>
    </w:p>
    <w:p>
      <w:r>
        <w:rPr>
          <w:color w:val="555555"/>
          <w:sz w:val="17"/>
        </w:rPr>
        <w:t xml:space="preserve">Zitiervorschlag: § 27 TierImpfStV 2006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https://recht.nulegal.eu/gesetze/TierImpfStV%202006/27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