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 TierImpfStV 2006 — Zulassung</w:t>
      </w:r>
    </w:p>
    <w:p>
      <w:r>
        <w:rPr>
          <w:color w:val="555555"/>
          <w:sz w:val="18"/>
        </w:rPr>
        <w:t xml:space="preserve">Tiergesundheitliche-In-vitro-Diagnostika-Verordnung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Die zuständige Zulassungsstelle darf die Zulassung vorbehaltlich des Satzes 2 nur versagen, wenn die Prüfung des In-vitro-Diagnostikums ergeben hat, dass</w:t>
      </w:r>
    </w:p>
    <w:p>
      <w:pPr>
        <w:ind w:left="420"/>
      </w:pPr>
      <w:r>
        <w:t xml:space="preserve">1. die vorgelegten Angaben und Unterlagen nicht den Anforderungen nach § 20 Absatz 3 oder § 21 entsprechen oder der Antragsteller einem Verlangen der zuständigen Zulassungsstelle nach § 20 Absatz 5 nicht oder nur unzureichend nachgekommen ist,</w:t>
      </w:r>
    </w:p>
    <w:p>
      <w:pPr>
        <w:ind w:left="420"/>
      </w:pPr>
      <w:r>
        <w:t xml:space="preserve">2. das In-vitro-Diagnostikum nicht die angegebene Zusammensetzung nach Art und Menge aufweist,</w:t>
      </w:r>
    </w:p>
    <w:p>
      <w:pPr>
        <w:ind w:left="420"/>
      </w:pPr>
      <w:r>
        <w:t xml:space="preserve">3. dem In-vitro-Diagnostikum die Wirksamkeit fehlt oder die Wirksamkeit nach dem Stand der wissenschaftlichen Erkenntnisse nur unzureichend begründet worden ist oder</w:t>
      </w:r>
    </w:p>
    <w:p>
      <w:pPr>
        <w:ind w:left="420"/>
      </w:pPr>
      <w:r>
        <w:t xml:space="preserve">4. die Abgabe des In-vitro-Diagnostikums oder dessen Anwendung gegen gesetzliche Vorschriften oder gegen unmittelbar geltende Rechtsakte der Europäischen Gemeinschaft oder der Europäischen Union verstößt.</w:t>
      </w:r>
    </w:p>
    <w:p>
      <w:r>
        <w:t xml:space="preserve">Die Zulassung ist zu versagen, wenn das In-vitro-Diagnostikum sich von einem zugelassenen oder bereits im Verkehr befindlichen In-vitro-Diagnostikum, das die gleiche Bezeichnung trägt, in der Art oder der Menge der Bestandteile unterscheidet.</w:t>
      </w:r>
    </w:p>
    <w:p>
      <w:r>
        <w:t xml:space="preserve">(2) Abweichend von Absatz 1 Satz 1 Nummer 1 kann die zuständige Zulassungsstelle, soweit hinreichende Anhaltspunkte dafür bestehen, dass das In-vitro-Diagnostikum einen erheblichen diagnostischen Wert haben kann und deshalb ein öffentliches Interesse an seinem unverzüglichen Inverkehrbringen besteht, die Zulassung auch dann erteilen, wenn für eine umfassende Beurteilung des In-vitro-Diagnostikums erforderliche Angaben und Unterlagen fehlen. In diesem Fall soll die zuständige Zulassungsstelle anordnen, dass weitere analytische Prüfungen durchgeführt werden und über die Ergebnisse berichtet wird.</w:t>
      </w:r>
    </w:p>
    <w:p>
      <w:r>
        <w:t xml:space="preserve">(3) Die Zulassung ist schriftlich unter Zuteilung einer Zulassungsnummer zu erteilen.</w:t>
      </w:r>
    </w:p>
    <w:p>
      <w:r>
        <w:t xml:space="preserve">(4) Die Zulassung kann mit Auflagen verbunden werden. Auflagen können insbesondere angeordnet werden, um sicherzustellen, dass das In-vitro-Diagnostikum</w:t>
      </w:r>
    </w:p>
    <w:p>
      <w:pPr>
        <w:ind w:left="420"/>
      </w:pPr>
      <w:r>
        <w:t xml:space="preserve">1. nach dem jeweiligen Stand von Wissenschaft und Technik hergestellt und geprüft wird,</w:t>
      </w:r>
    </w:p>
    <w:p>
      <w:pPr>
        <w:ind w:left="420"/>
      </w:pPr>
      <w:r>
        <w:t xml:space="preserve">2. in einer den Vorschriften über die Kennzeichnung und die Packungsbeilage entsprechenden Form abgegeben wird,</w:t>
      </w:r>
    </w:p>
    <w:p>
      <w:pPr>
        <w:ind w:left="420"/>
      </w:pPr>
      <w:r>
        <w:t xml:space="preserve">3. mit Warnhinweisen gekennzeichnet wird, soweit diese erforderlich sind, um bei der Anwendung des In-vitro-Diagnostikums eine Gefährdung der Gesundheit von Mensch oder Tier zu verhüten.</w:t>
      </w:r>
    </w:p>
    <w:p>
      <w:r>
        <w:t xml:space="preserve">Auflagen können ferner angeordnet werden, um eine angemessene Qualität oder Unbedenklichkeit des In-vitro-Diagnostikums sicherzustellen. Dabei kann angeordnet werden, dass</w:t>
      </w:r>
    </w:p>
    <w:p>
      <w:pPr>
        <w:ind w:left="420"/>
      </w:pPr>
      <w:r>
        <w:t xml:space="preserve">1. bestimmte Anforderungen eingehalten und bestimmte Maßnahmen und Verfahren angewendet werden,</w:t>
      </w:r>
    </w:p>
    <w:p>
      <w:pPr>
        <w:ind w:left="420"/>
      </w:pPr>
      <w:r>
        <w:t xml:space="preserve">2. Unterlagen vorgelegt werden, die die Eignung bestimmter Maßnahmen oder Verfahren begründen,</w:t>
      </w:r>
    </w:p>
    <w:p>
      <w:pPr>
        <w:ind w:left="420"/>
      </w:pPr>
      <w:r>
        <w:t xml:space="preserve">3. die Einführung oder Änderung bestimmter Anforderungen, Maßnahmen oder Verfahren der vorherigen Zustimmung der zuständigen Zulassungsstelle bedürfen.</w:t>
      </w:r>
    </w:p>
    <w:p>
      <w:r>
        <w:t xml:space="preserve">Auflagen können nachträglich aufgenommen, geändert oder ergänzt werden.</w:t>
      </w:r>
    </w:p>
    <w:p>
      <w:r>
        <w:t xml:space="preserve">(5) Für die Erfüllung einer Auflage kann die zuständige Zulassungsstelle eine Frist festlegen. Auf Antrag des pharmazeutischen Unternehmers kann die Frist in begründeten Einzelfällen verlängert werden.</w:t>
      </w:r>
    </w:p>
    <w:p>
      <w:r>
        <w:t xml:space="preserve">(6) Die Zulassung eines In-vitro-Diagnostikums nach § 16 der Tierimpfstoff-Verordnung in der Fassung der Bekanntmachung vom 12. November 1993 (BGBl. I S. 1885), die zuletzt durch § 49 Satz 2 der Verordnung vom 24. Oktober 2006 (BGBl. I S. 2355) geändert worden ist, gilt als Zulassung nach dieser Verordnung fort.</w:t>
      </w:r>
    </w:p>
    <w:p>
      <w:r>
        <w:rPr>
          <w:color w:val="555555"/>
          <w:sz w:val="17"/>
        </w:rPr>
        <w:t xml:space="preserve">Zitiervorschlag: § 23 TierImpfStV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https://recht.nulegal.eu/gesetze/TierImpfStV%202006/23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 TierImpfStV 2006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