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TierImpfStV 2006 — Zulassungsantrag</w:t>
      </w:r>
    </w:p>
    <w:p>
      <w:r>
        <w:rPr>
          <w:color w:val="555555"/>
          <w:sz w:val="18"/>
        </w:rPr>
        <w:t xml:space="preserve">Tiergesundheitliche-In-vitro-Diagnostika-Verordnung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Zulassung von In-vitro-Diagnostika nach § 11 Absatz 2 Satz 1 des Tiergesundheitsgesetzes ist vom pharmazeutischen Unternehmer schriftlich oder elektronisch und in deutscher Sprache nach einem von der zuständigen Zulassungsstelle im Bundesanzeiger bekannt gemachten Muster zu beantragen.Abweichend von Satz 1 kann die zuständige Zulassungsstelle in begründeten Ausnahmefällen die Verwendung einer anderen als der deutschen Sprache, insbesondere hinsichtlich der dem Antrag beizufügenden Unterlagen, zulassen.</w:t>
      </w:r>
    </w:p>
    <w:p>
      <w:r>
        <w:t xml:space="preserve">(2) Die Zulassung kann beantragen, wer seinen Sitz in einem Mitgliedstaat oder einem Vertragsstaat des Abkommens über den Europäischen Wirtschaftsraum hat.</w:t>
      </w:r>
    </w:p>
    <w:p>
      <w:r>
        <w:t xml:space="preserve">(3) Der Antrag auf Zulassung muss die Angaben und Unterlagen nach Anlage 1 enthalten.</w:t>
      </w:r>
    </w:p>
    <w:p>
      <w:r>
        <w:t xml:space="preserve">(4) Wird die Zulassung für ein in einem Mitgliedstaat der Europäischen Union (Mitgliedstaat) oder in einem Vertragsstaat des Abkommens über den Europäischen Wirtschaftsraum hergestelltes In-vitro-Diagnostikum beantragt, das vermehrungsfähige Erreger übertragbarer Tierkrankheiten enthält, so ist der Nachweis zu erbringen, dass für das In-vitro-Diagnostikum eine tierseuchenrechtliche Genehmigung zum innergemeinschaftlichen Verbringen nach der Tierseuchenerreger-Einfuhrverordnung erteilt worden ist.</w:t>
      </w:r>
    </w:p>
    <w:p>
      <w:r>
        <w:t xml:space="preserve">(5) Der Antragsteller hat der zuständigen Zulassungsstelle auf Verlangen Folgendes zu übersenden:</w:t>
      </w:r>
    </w:p>
    <w:p>
      <w:pPr>
        <w:ind w:left="420"/>
      </w:pPr>
      <w:r>
        <w:t xml:space="preserve">1. das In-vitro-Diagnostikum für dessen Prüfung in ausreichender Menge,</w:t>
      </w:r>
    </w:p>
    <w:p>
      <w:pPr>
        <w:ind w:left="420"/>
      </w:pPr>
      <w:r>
        <w:t xml:space="preserve">2. die für die Prüfung erforderlichen Proben, Materialien und Geräte,</w:t>
      </w:r>
    </w:p>
    <w:p>
      <w:pPr>
        <w:ind w:left="420"/>
      </w:pPr>
      <w:r>
        <w:t xml:space="preserve">3. die Aufzeichnungen über die Herstellung und Prüfung,</w:t>
      </w:r>
    </w:p>
    <w:p>
      <w:pPr>
        <w:ind w:left="420"/>
      </w:pPr>
      <w:r>
        <w:t xml:space="preserve">4. sonstige Unterlagen über tierärztliche Prüfungen des In-vitro-Diagnostikums.</w:t>
      </w:r>
    </w:p>
    <w:p>
      <w:r>
        <w:t xml:space="preserve">Die Übersendung der Materialien und Geräte nach Satz 1 Nummer 2 darf nur verlangt werden, soweit die Prüfung nur mit vom Hersteller zur Verfügung gestellten Materialien und Geräten erfolgen kann.</w:t>
      </w:r>
    </w:p>
    <w:p>
      <w:r>
        <w:rPr>
          <w:color w:val="555555"/>
          <w:sz w:val="17"/>
        </w:rPr>
        <w:t xml:space="preserve">Zitiervorschlag: § 20 TierImpfStV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https://recht.nulegal.eu/gesetze/TierImpfStV%202006/20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