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TierImpfStV 2006 — Abfüllen der Charge</w:t>
      </w:r>
    </w:p>
    <w:p>
      <w:r>
        <w:rPr>
          <w:color w:val="555555"/>
          <w:sz w:val="18"/>
        </w:rPr>
        <w:t xml:space="preserve">Tiergesundheitliche-In-vitro-Diagnostika-Verordnung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Für das Abfüllen einer Charge gelten die Anforderungen an die Herstellung nach § 8 Absatz 1, 2 Satz 1 Nummer 1, 2 und 4, Satz 2 sowie Absatz 3 und 4 entsprechend. Der Inhaber einer Herstellungserlaubnis muss zusätzlich sicherstellen, dass beim Abfüllen einer Charge</w:t>
      </w:r>
    </w:p>
    <w:p>
      <w:pPr>
        <w:ind w:left="420"/>
      </w:pPr>
      <w:r>
        <w:t xml:space="preserve">1. keine Veränderungen oder Verunreinigungen des In-vitro-Diagnostikums eintreten und</w:t>
      </w:r>
    </w:p>
    <w:p>
      <w:pPr>
        <w:ind w:left="420"/>
      </w:pPr>
      <w:r>
        <w:t xml:space="preserve">2. repräsentative Proben für die Sterilitätsprüfung und die Identitätsprüfung entnommen werden.</w:t>
      </w:r>
    </w:p>
    <w:p>
      <w:r>
        <w:rPr>
          <w:color w:val="555555"/>
          <w:sz w:val="17"/>
        </w:rPr>
        <w:t xml:space="preserve">Zitiervorschlag: § 14 TierImpfStV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https://recht.nulegal.eu/gesetze/TierImpfStV%202006/14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TierImpfStV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