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TierImpfStKostV 2010</w:t>
      </w:r>
    </w:p>
    <w:p>
      <w:r>
        <w:rPr>
          <w:color w:val="555555"/>
          <w:sz w:val="18"/>
        </w:rPr>
        <w:t xml:space="preserve">Tierimpfstoff-Kostenverordnung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Auf Grund des § 5 Absatz 2 des Tierseuchengesetzes in der Fassung der Bekanntmachung vom 22. Juni 2004 (BGBl. I S. 1260), der durch Artikel 16a Nummer 2 des Gesetzes vom 13. April 2006 (BGBl. I S. 855) geändert worden ist, in Verbindung mit dem 2. Abschnitt des Verwaltungskostengesetzes vom 23. Juni 1970 (BGBl. I S. 821) verordnet das Bundesministerium für Ernährung, Landwirtschaft und Verbraucherschutz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TierImpfStKostV 2010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https://recht.nulegal.eu/gesetze/TierImpfStKostV%202010/eingangsformel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