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TierImpfStKostV 2010 — (zu § 2)Gebührenverzeichnis</w:t>
      </w:r>
    </w:p>
    <w:p>
      <w:r>
        <w:rPr>
          <w:color w:val="555555"/>
          <w:sz w:val="18"/>
        </w:rPr>
        <w:t xml:space="preserve">Tierimpfstoff-Kostenverordnung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(Fundstelle: BGBl. I 2010, 1638 - 1642; bzgl. einzelner Änderungen vgl. Fußnote)</w:t>
      </w:r>
    </w:p>
    <w:p>
      <w:r>
        <w:t xml:space="preserve">Abschnitt 1 Gebühren für individuell zurechenbare öffentliche Leistungen des Paul-Ehrlich-Instituts im Hinblick auf Mittel, die zur Anwendung am Tier bestimmt sind</w:t>
      </w:r>
    </w:p>
    <w:p>
      <w:r>
        <w:rPr>
          <w:rFonts w:ascii="Courier New" w:hAnsi="Courier New"/>
          <w:sz w:val="17"/>
        </w:rPr>
        <w:t xml:space="preserve">Gebühren- nummer    Gebührentatbestand    Gebühr Euro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    Für die Entscheidung über die Zulassung nach § 22 der Tierimpfstoff-Verordnung    </w:t>
      </w:r>
    </w:p>
    <w:p>
      <w:r>
        <w:rPr>
          <w:rFonts w:ascii="Courier New" w:hAnsi="Courier New"/>
          <w:sz w:val="17"/>
        </w:rPr>
        <w:t xml:space="preserve">1.1    für monovalente Impfstoffe und Immunmodulatoren, Sera und Tuberkuline mit einer Zieltierart    19 500</w:t>
      </w:r>
    </w:p>
    <w:p>
      <w:r>
        <w:rPr>
          <w:rFonts w:ascii="Courier New" w:hAnsi="Courier New"/>
          <w:sz w:val="17"/>
        </w:rPr>
        <w:t xml:space="preserve">1.2    für monovalente Impfstoffe und Immunmodulatoren, Sera und Tuberkuline mit einer Zieltierart, wenn die Entscheidung die Durchführung eines Belastungsversuchs erfordert    26 000 bis 32 500</w:t>
      </w:r>
    </w:p>
    <w:p>
      <w:r>
        <w:rPr>
          <w:rFonts w:ascii="Courier New" w:hAnsi="Courier New"/>
          <w:sz w:val="17"/>
        </w:rPr>
        <w:t xml:space="preserve">1.3    zusätzlich zu Nummer 1.1 oder 1.2 je weiterer Komponente (Stamm- oder Serotyp)    2 700</w:t>
      </w:r>
    </w:p>
    <w:p>
      <w:r>
        <w:rPr>
          <w:rFonts w:ascii="Courier New" w:hAnsi="Courier New"/>
          <w:sz w:val="17"/>
        </w:rPr>
        <w:t xml:space="preserve">1.4    zusätzlich zu Nummer 1.1 oder 1.2 je weiterer Komponente (Stamm- oder Serotyp), wenn die Entscheidung hinsichtlich dieser weiteren Komponente die Durchführung eines Belastungsversuchs erfordert    9 200 bis 15 700</w:t>
      </w:r>
    </w:p>
    <w:p>
      <w:r>
        <w:rPr>
          <w:rFonts w:ascii="Courier New" w:hAnsi="Courier New"/>
          <w:sz w:val="17"/>
        </w:rPr>
        <w:t xml:space="preserve">1.5    zusätzlich zu Nummer 1.1 oder 1.2 je weiterer Zieltierart    2 000</w:t>
      </w:r>
    </w:p>
    <w:p>
      <w:r>
        <w:rPr>
          <w:rFonts w:ascii="Courier New" w:hAnsi="Courier New"/>
          <w:sz w:val="17"/>
        </w:rPr>
        <w:t xml:space="preserve">1.6    zusätzlich zu Nummer 1.1 oder 1.2 je weiterer Zieltierart, wenn die Entscheidung hinsichtlich dieser weiteren Zieltierart die Durchführung eines Belastungsversuchs erfordert    8 500 bis 15 000</w:t>
      </w:r>
    </w:p>
    <w:p>
      <w:r>
        <w:rPr>
          <w:rFonts w:ascii="Courier New" w:hAnsi="Courier New"/>
          <w:sz w:val="17"/>
        </w:rPr>
        <w:t xml:space="preserve">2    Für die Entscheidung über die Zulassung im Verfahren der gegenseitigen Anerkennung, wenn die Bundesrepublik Deutschland nach § 24 Absatz 2 der Tierimpfstoff-Verordnung    </w:t>
      </w:r>
    </w:p>
    <w:p>
      <w:r>
        <w:rPr>
          <w:rFonts w:ascii="Courier New" w:hAnsi="Courier New"/>
          <w:sz w:val="17"/>
        </w:rPr>
        <w:t xml:space="preserve">2.1    Referenzmitgliedstaat im Sinne des Artikels 32 Absatz 1 der Richtlinie 2001/82/EG ist, unbeschadet der Gebühr nach Nummer 1,    9 500</w:t>
      </w:r>
    </w:p>
    <w:p>
      <w:r>
        <w:rPr>
          <w:rFonts w:ascii="Courier New" w:hAnsi="Courier New"/>
          <w:sz w:val="17"/>
        </w:rPr>
        <w:t xml:space="preserve">2.2    betroffener Mitgliedstaat ist und die Entscheidung auf der Grundlage des Beurteilungsberichts eines anderen Mitgliedstaats ergeht,    </w:t>
      </w:r>
    </w:p>
    <w:p>
      <w:r>
        <w:rPr>
          <w:rFonts w:ascii="Courier New" w:hAnsi="Courier New"/>
          <w:sz w:val="17"/>
        </w:rPr>
        <w:t xml:space="preserve">2.2.1    für monovalente Impfstoffe und Immunmodulatoren, Sera und Tuberkuline mit einer Zieltierart    5 700</w:t>
      </w:r>
    </w:p>
    <w:p>
      <w:r>
        <w:rPr>
          <w:rFonts w:ascii="Courier New" w:hAnsi="Courier New"/>
          <w:sz w:val="17"/>
        </w:rPr>
        <w:t xml:space="preserve">2.2.2    zusätzlich zu Nummer 2.2.1 je weiterer Komponente    1 500</w:t>
      </w:r>
    </w:p>
    <w:p>
      <w:r>
        <w:rPr>
          <w:rFonts w:ascii="Courier New" w:hAnsi="Courier New"/>
          <w:sz w:val="17"/>
        </w:rPr>
        <w:t xml:space="preserve">2.2.3    zusätzlich zu Nummer 2.2.1 je weiterer Zieltierart    1 400</w:t>
      </w:r>
    </w:p>
    <w:p>
      <w:r>
        <w:rPr>
          <w:rFonts w:ascii="Courier New" w:hAnsi="Courier New"/>
          <w:sz w:val="17"/>
        </w:rPr>
        <w:t xml:space="preserve">3    Für die Entscheidung über die Zulassung im dezentralisierten Verfahren, wenn die Bundesrepublik Deutschland nach § 24 Absatz 3 der Tierimpfstoff-Verordnung    </w:t>
      </w:r>
    </w:p>
    <w:p>
      <w:r>
        <w:rPr>
          <w:rFonts w:ascii="Courier New" w:hAnsi="Courier New"/>
          <w:sz w:val="17"/>
        </w:rPr>
        <w:t xml:space="preserve">3.1    Referenzmitgliedstaat ist,    </w:t>
      </w:r>
    </w:p>
    <w:p>
      <w:r>
        <w:rPr>
          <w:rFonts w:ascii="Courier New" w:hAnsi="Courier New"/>
          <w:sz w:val="17"/>
        </w:rPr>
        <w:t xml:space="preserve">3.1.1    für monovalente Impfstoffe und Immunmodulatoren, Sera und Tuberkuline mit einer Zieltierart    30 100</w:t>
      </w:r>
    </w:p>
    <w:p>
      <w:r>
        <w:rPr>
          <w:rFonts w:ascii="Courier New" w:hAnsi="Courier New"/>
          <w:sz w:val="17"/>
        </w:rPr>
        <w:t xml:space="preserve">3.1.2    für monovalente Impfstoffe und Immunmodulatoren, Sera und Tuberkuline mit einer Zieltierart, wenn die Entscheidung die Durchführung eines Belastungsversuchs erfordert    36 600 bis 43 100</w:t>
      </w:r>
    </w:p>
    <w:p>
      <w:r>
        <w:rPr>
          <w:rFonts w:ascii="Courier New" w:hAnsi="Courier New"/>
          <w:sz w:val="17"/>
        </w:rPr>
        <w:t xml:space="preserve">3.1.3    zusätzlich zu Nummer 3.1.1 oder 3.1.2 je weiterer Komponente (Stamm- oder Serotyp)    2 700</w:t>
      </w:r>
    </w:p>
    <w:p>
      <w:r>
        <w:rPr>
          <w:rFonts w:ascii="Courier New" w:hAnsi="Courier New"/>
          <w:sz w:val="17"/>
        </w:rPr>
        <w:t xml:space="preserve">3.1.4    zusätzlich zu Nummer 3.1.1 oder 3.1.2 je weiterer Komponente (Stamm- oder Serotyp), wenn die Entscheidung hinsichtlich dieser weiteren Komponente die Durchführung eines Belastungsversuchs erfordert    9 200 bis 15 700</w:t>
      </w:r>
    </w:p>
    <w:p>
      <w:r>
        <w:rPr>
          <w:rFonts w:ascii="Courier New" w:hAnsi="Courier New"/>
          <w:sz w:val="17"/>
        </w:rPr>
        <w:t xml:space="preserve">3.1.5    zusätzlich zu Nummer 3.1.1 oder 3.1.2 je weiterer Zieltierart    2 000</w:t>
      </w:r>
    </w:p>
    <w:p>
      <w:r>
        <w:rPr>
          <w:rFonts w:ascii="Courier New" w:hAnsi="Courier New"/>
          <w:sz w:val="17"/>
        </w:rPr>
        <w:t xml:space="preserve">3.1.6    zusätzlich zu Nummer 3.1.1 oder 3.1.2 je weiterer Zieltierart, wenn die Entscheidung hinsichtlich dieser weiteren Zieltierart die Durchführung eines Belastungsversuchs erfordert    8 500 bis 15 000</w:t>
      </w:r>
    </w:p>
    <w:p>
      <w:r>
        <w:rPr>
          <w:rFonts w:ascii="Courier New" w:hAnsi="Courier New"/>
          <w:sz w:val="17"/>
        </w:rPr>
        <w:t xml:space="preserve">3.2    betroffener Mitgliedstaat ist,    </w:t>
      </w:r>
    </w:p>
    <w:p>
      <w:r>
        <w:rPr>
          <w:rFonts w:ascii="Courier New" w:hAnsi="Courier New"/>
          <w:sz w:val="17"/>
        </w:rPr>
        <w:t xml:space="preserve">3.2.1    für monovalente Impfstoffe und Immunmodulatoren, Sera und Tuberkuline mit einer Zieltierart    12 000</w:t>
      </w:r>
    </w:p>
    <w:p>
      <w:r>
        <w:rPr>
          <w:rFonts w:ascii="Courier New" w:hAnsi="Courier New"/>
          <w:sz w:val="17"/>
        </w:rPr>
        <w:t xml:space="preserve">3.2.2    zusätzlich zu Nummer 3.2.1 je weiterer Komponente    2 000</w:t>
      </w:r>
    </w:p>
    <w:p>
      <w:r>
        <w:rPr>
          <w:rFonts w:ascii="Courier New" w:hAnsi="Courier New"/>
          <w:sz w:val="17"/>
        </w:rPr>
        <w:t xml:space="preserve">3.2.3    zusätzlich zu Nummer 3.2.1 je weiterer Zieltierart    1 600</w:t>
      </w:r>
    </w:p>
    <w:p>
      <w:r>
        <w:rPr>
          <w:rFonts w:ascii="Courier New" w:hAnsi="Courier New"/>
          <w:sz w:val="17"/>
        </w:rPr>
        <w:t xml:space="preserve">4    Für die Entscheidung über die Verlängerung der Dauer einer Zulassung nach § 26 der Tierimpfstoff-Verordnung, wenn das Mittel    </w:t>
      </w:r>
    </w:p>
    <w:p>
      <w:r>
        <w:rPr>
          <w:rFonts w:ascii="Courier New" w:hAnsi="Courier New"/>
          <w:sz w:val="17"/>
        </w:rPr>
        <w:t xml:space="preserve">4.1    nur in der Bundesrepublik Deutschland zugelassen ist    1 700 bis 11 000</w:t>
      </w:r>
    </w:p>
    <w:p>
      <w:r>
        <w:rPr>
          <w:rFonts w:ascii="Courier New" w:hAnsi="Courier New"/>
          <w:sz w:val="17"/>
        </w:rPr>
        <w:t xml:space="preserve">4.2    nur in der Bundesrepublik Deutschland zugelassen ist und die Entscheidung die Durchführung eines Belastungsversuchs erfordert    8 700 bis 15 200</w:t>
      </w:r>
    </w:p>
    <w:p>
      <w:r>
        <w:rPr>
          <w:rFonts w:ascii="Courier New" w:hAnsi="Courier New"/>
          <w:sz w:val="17"/>
        </w:rPr>
        <w:t xml:space="preserve">4.3    im Verfahren der gegenseitigen Anerkennung oder im dezentralisierten Verfahren zugelassen ist und die Bundesrepublik Deutschland    </w:t>
      </w:r>
    </w:p>
    <w:p>
      <w:r>
        <w:rPr>
          <w:rFonts w:ascii="Courier New" w:hAnsi="Courier New"/>
          <w:sz w:val="17"/>
        </w:rPr>
        <w:t xml:space="preserve">4.3.1    Referenzmitgliedstaat ist    1 700 bis 11 000</w:t>
      </w:r>
    </w:p>
    <w:p>
      <w:r>
        <w:rPr>
          <w:rFonts w:ascii="Courier New" w:hAnsi="Courier New"/>
          <w:sz w:val="17"/>
        </w:rPr>
        <w:t xml:space="preserve">4.3.2    Referenzmitgliedstaat ist und die Entscheidung die Durchführung eines Belastungsversuchs erfordert    9 200 bis 15 700</w:t>
      </w:r>
    </w:p>
    <w:p>
      <w:r>
        <w:rPr>
          <w:rFonts w:ascii="Courier New" w:hAnsi="Courier New"/>
          <w:sz w:val="17"/>
        </w:rPr>
        <w:t xml:space="preserve">4.3.3    betroffener Mitgliedstaat ist    1 100 bis 2 500</w:t>
      </w:r>
    </w:p>
    <w:p>
      <w:r>
        <w:rPr>
          <w:rFonts w:ascii="Courier New" w:hAnsi="Courier New"/>
          <w:sz w:val="17"/>
        </w:rPr>
        <w:t xml:space="preserve">4.3.4    betroffener Mitgliedstaat ist und die Entscheidung die Durchführung eines Belastungsversuchs erfordert    7 800 bis 14 300</w:t>
      </w:r>
    </w:p>
    <w:p>
      <w:r>
        <w:rPr>
          <w:rFonts w:ascii="Courier New" w:hAnsi="Courier New"/>
          <w:sz w:val="17"/>
        </w:rPr>
        <w:t xml:space="preserve">5    Für die Entscheidung über die Änderung einer Zulassung    </w:t>
      </w:r>
    </w:p>
    <w:p>
      <w:r>
        <w:rPr>
          <w:rFonts w:ascii="Courier New" w:hAnsi="Courier New"/>
          <w:sz w:val="17"/>
        </w:rPr>
        <w:t xml:space="preserve">5.1    bei einer größeren Änderung im Sinne des Artikels 2 Nummer 3 der Verordnung (EG) Nr. 1234/2008 – Typ II-Änderung –,    </w:t>
      </w:r>
    </w:p>
    <w:p>
      <w:r>
        <w:rPr>
          <w:rFonts w:ascii="Courier New" w:hAnsi="Courier New"/>
          <w:sz w:val="17"/>
        </w:rPr>
        <w:t xml:space="preserve">5.1.1    wenn das Mittel nur in der Bundesrepublik Deutschland zugelassen ist    2 500</w:t>
      </w:r>
    </w:p>
    <w:p>
      <w:r>
        <w:rPr>
          <w:rFonts w:ascii="Courier New" w:hAnsi="Courier New"/>
          <w:sz w:val="17"/>
        </w:rPr>
        <w:t xml:space="preserve">5.1.2    wenn das Mittel nur in der Bundesrepublik Deutschland zugelassen ist und die Entscheidung die Durchführung eines Belastungsversuchs erfordert    9 000 bis 15 000</w:t>
      </w:r>
    </w:p>
    <w:p>
      <w:r>
        <w:rPr>
          <w:rFonts w:ascii="Courier New" w:hAnsi="Courier New"/>
          <w:sz w:val="17"/>
        </w:rPr>
        <w:t xml:space="preserve">5.1.3    wenn die Bundesrepublik Deutschland Referenzmitgliedstaat ist    3 200</w:t>
      </w:r>
    </w:p>
    <w:p>
      <w:r>
        <w:rPr>
          <w:rFonts w:ascii="Courier New" w:hAnsi="Courier New"/>
          <w:sz w:val="17"/>
        </w:rPr>
        <w:t xml:space="preserve">5.1.4    wenn die Bundesrepublik Deutschland Referenzmitgliedstaat ist und die Entscheidung die Durchführung eines Belastungsversuchs erfordert    9 700 bis 16 200</w:t>
      </w:r>
    </w:p>
    <w:p>
      <w:r>
        <w:rPr>
          <w:rFonts w:ascii="Courier New" w:hAnsi="Courier New"/>
          <w:sz w:val="17"/>
        </w:rPr>
        <w:t xml:space="preserve">5.1.5    wenn die Bundesrepublik Deutschland betroffener Mitgliedstaat ist    1 600</w:t>
      </w:r>
    </w:p>
    <w:p>
      <w:r>
        <w:rPr>
          <w:rFonts w:ascii="Courier New" w:hAnsi="Courier New"/>
          <w:sz w:val="17"/>
        </w:rPr>
        <w:t xml:space="preserve">5.2    bei einer geringfügigen Änderung im Sinne des Artikels 2 Nummer 5 der Verordnung (EG) Nr. 1234/2008 – Typ IB Änderung –,    </w:t>
      </w:r>
    </w:p>
    <w:p>
      <w:r>
        <w:rPr>
          <w:rFonts w:ascii="Courier New" w:hAnsi="Courier New"/>
          <w:sz w:val="17"/>
        </w:rPr>
        <w:t xml:space="preserve">5.2.1    wenn das Mittel nur in der Bundesrepublik Deutschland zugelassen ist    750</w:t>
      </w:r>
    </w:p>
    <w:p>
      <w:r>
        <w:rPr>
          <w:rFonts w:ascii="Courier New" w:hAnsi="Courier New"/>
          <w:sz w:val="17"/>
        </w:rPr>
        <w:t xml:space="preserve">5.2.2    wenn die Bundesrepublik Deutschland Referenzmitgliedstaat ist    1 100</w:t>
      </w:r>
    </w:p>
    <w:p>
      <w:r>
        <w:rPr>
          <w:rFonts w:ascii="Courier New" w:hAnsi="Courier New"/>
          <w:sz w:val="17"/>
        </w:rPr>
        <w:t xml:space="preserve">5.2.3    wenn die Bundesrepublik Deutschland betroffener Mitgliedstaat ist    650</w:t>
      </w:r>
    </w:p>
    <w:p>
      <w:r>
        <w:rPr>
          <w:rFonts w:ascii="Courier New" w:hAnsi="Courier New"/>
          <w:sz w:val="17"/>
        </w:rPr>
        <w:t xml:space="preserve">5.3    bei einer geringfügigen Änderung im Sinne des Artikels 2 Nummer 2 der Verordnung (EG) Nr. 1234/2008 – Typ IA Änderung –,    </w:t>
      </w:r>
    </w:p>
    <w:p>
      <w:r>
        <w:rPr>
          <w:rFonts w:ascii="Courier New" w:hAnsi="Courier New"/>
          <w:sz w:val="17"/>
        </w:rPr>
        <w:t xml:space="preserve">5.3.1    wenn das Mittel nur in der Bundesrepublik Deutschland zugelassen ist    190</w:t>
      </w:r>
    </w:p>
    <w:p>
      <w:r>
        <w:rPr>
          <w:rFonts w:ascii="Courier New" w:hAnsi="Courier New"/>
          <w:sz w:val="17"/>
        </w:rPr>
        <w:t xml:space="preserve">5.3.2    wenn die Bundesrepublik Deutschland Referenzmitgliedstaat ist    300</w:t>
      </w:r>
    </w:p>
    <w:p>
      <w:r>
        <w:rPr>
          <w:rFonts w:ascii="Courier New" w:hAnsi="Courier New"/>
          <w:sz w:val="17"/>
        </w:rPr>
        <w:t xml:space="preserve">5.3.3    wenn die Bundesrepublik Deutschland betroffener Mitgliedstaat ist    220</w:t>
      </w:r>
    </w:p>
    <w:p>
      <w:r>
        <w:rPr>
          <w:rFonts w:ascii="Courier New" w:hAnsi="Courier New"/>
          <w:sz w:val="17"/>
        </w:rPr>
        <w:t xml:space="preserve">5.4    bei einer Erweiterung der Zulassung im Sinne des Artikels 2 Nummer 4 in Verbindung mit Anhang I der Verordnung (EG) Nr. 1234/2008,    </w:t>
      </w:r>
    </w:p>
    <w:p>
      <w:r>
        <w:rPr>
          <w:rFonts w:ascii="Courier New" w:hAnsi="Courier New"/>
          <w:sz w:val="17"/>
        </w:rPr>
        <w:t xml:space="preserve">5.4.1    wenn das Mittel nur in der Bundesrepublik Deutschland zugelassen ist    17 000</w:t>
      </w:r>
    </w:p>
    <w:p>
      <w:r>
        <w:rPr>
          <w:rFonts w:ascii="Courier New" w:hAnsi="Courier New"/>
          <w:sz w:val="17"/>
        </w:rPr>
        <w:t xml:space="preserve">5.4.2    wenn das Mittel nur in der Bundesrepublik Deutschland zugelassen ist und die Entscheidung die Durchführung eines Belastungsversuchs erfordert    23 500 bis 30 000</w:t>
      </w:r>
    </w:p>
    <w:p>
      <w:r>
        <w:rPr>
          <w:rFonts w:ascii="Courier New" w:hAnsi="Courier New"/>
          <w:sz w:val="17"/>
        </w:rPr>
        <w:t xml:space="preserve">5.4.3    wenn die Bundesrepublik Deutschland Referenzmitgliedstaat ist    19 000</w:t>
      </w:r>
    </w:p>
    <w:p>
      <w:r>
        <w:rPr>
          <w:rFonts w:ascii="Courier New" w:hAnsi="Courier New"/>
          <w:sz w:val="17"/>
        </w:rPr>
        <w:t xml:space="preserve">5.4.4    wenn die Bundesrepublik Deutschland Referenzmitgliedstaat ist und die Entscheidung die Durchführung eines Belastungsversuchs erfordert    25 500 bis 32 000</w:t>
      </w:r>
    </w:p>
    <w:p>
      <w:r>
        <w:rPr>
          <w:rFonts w:ascii="Courier New" w:hAnsi="Courier New"/>
          <w:sz w:val="17"/>
        </w:rPr>
        <w:t xml:space="preserve">5.4.5    wenn die Bundesrepublik Deutschland betroffener Mitgliedstaat ist    5 800</w:t>
      </w:r>
    </w:p>
    <w:p>
      <w:r>
        <w:rPr>
          <w:rFonts w:ascii="Courier New" w:hAnsi="Courier New"/>
          <w:sz w:val="17"/>
        </w:rPr>
        <w:t xml:space="preserve">5.5    wenn bei einem Mittel mehrere Änderungen nach Nummer 5.1 bis 5.4 gleichzeitig beantragt oder mitgeteilt werden und dadurch ein wesentlich geringerer Aufwand entsteht,    </w:t>
      </w:r>
    </w:p>
    <w:p>
      <w:r>
        <w:rPr>
          <w:rFonts w:ascii="Courier New" w:hAnsi="Courier New"/>
          <w:sz w:val="17"/>
        </w:rPr>
        <w:t xml:space="preserve">5.5.1    für diejenige Änderung, für die nach Nummer 5.1 bis 5.4 die höchste Gebühr vorgesehen ist    die in Nummer 5.1 bis 5.4 vorgesehene Gebühr</w:t>
      </w:r>
    </w:p>
    <w:p>
      <w:r>
        <w:rPr>
          <w:rFonts w:ascii="Courier New" w:hAnsi="Courier New"/>
          <w:sz w:val="17"/>
        </w:rPr>
        <w:t xml:space="preserve">5.5.2    für jede weitere Änderung    ein Viertel bis drei Viertel der jeweils in Nummer 5.1 bis 5.4 vorgesehenen Gebühr</w:t>
      </w:r>
    </w:p>
    <w:p>
      <w:r>
        <w:rPr>
          <w:rFonts w:ascii="Courier New" w:hAnsi="Courier New"/>
          <w:sz w:val="17"/>
        </w:rPr>
        <w:t xml:space="preserve">5.6    wenn für mehrere Mittel eines pharmazeutischen Unternehmers inhaltlich gleiche Änderungen nach 5.1 bis 5.3 beantragt oder mitgeteilt werden,    </w:t>
      </w:r>
    </w:p>
    <w:p>
      <w:r>
        <w:rPr>
          <w:rFonts w:ascii="Courier New" w:hAnsi="Courier New"/>
          <w:sz w:val="17"/>
        </w:rPr>
        <w:t xml:space="preserve">5.6.1    für diejenige Änderung, für die nach Nummer 5.1 bis 5.3 die höchste Gebühr vorgesehen ist    die in Nummer 5.1 bis 5.3 vorgesehene Gebühr</w:t>
      </w:r>
    </w:p>
    <w:p>
      <w:r>
        <w:rPr>
          <w:rFonts w:ascii="Courier New" w:hAnsi="Courier New"/>
          <w:sz w:val="17"/>
        </w:rPr>
        <w:t xml:space="preserve">5.6.2    für jede weitere Änderung    ein Viertel bis drei Viertel der jeweils in Nummer 5.1 bis 5.3 vorgesehenen Gebühr</w:t>
      </w:r>
    </w:p>
    <w:p>
      <w:r>
        <w:rPr>
          <w:rFonts w:ascii="Courier New" w:hAnsi="Courier New"/>
          <w:sz w:val="17"/>
        </w:rPr>
        <w:t xml:space="preserve">5.7    wenn eine Änderung nach 5.1 bis 5.4 eine Änderung der Zulassung in Bezug auf die Kennzeichnung oder die Packungsbeilage nach sich zieht, für diese Änderung    keine Gebühr</w:t>
      </w:r>
    </w:p>
    <w:p>
      <w:r>
        <w:rPr>
          <w:rFonts w:ascii="Courier New" w:hAnsi="Courier New"/>
          <w:sz w:val="17"/>
        </w:rPr>
        <w:t xml:space="preserve">6    Für die Freigabe einer Charge, auch auf Grund eines Antrags auf Erteilung eines Zertifikats,    </w:t>
      </w:r>
    </w:p>
    <w:p>
      <w:r>
        <w:rPr>
          <w:rFonts w:ascii="Courier New" w:hAnsi="Courier New"/>
          <w:sz w:val="17"/>
        </w:rPr>
        <w:t xml:space="preserve">6.1    für die Freigabe auf Grund der Prüfung der eingereichten Unterlagen    </w:t>
      </w:r>
    </w:p>
    <w:p>
      <w:r>
        <w:rPr>
          <w:rFonts w:ascii="Courier New" w:hAnsi="Courier New"/>
          <w:sz w:val="17"/>
        </w:rPr>
        <w:t xml:space="preserve">6.1.1    für monovalente Impfstoffe, Seren, Immunmodulatoren und Tuberkuline    250</w:t>
      </w:r>
    </w:p>
    <w:p>
      <w:r>
        <w:rPr>
          <w:rFonts w:ascii="Courier New" w:hAnsi="Courier New"/>
          <w:sz w:val="17"/>
        </w:rPr>
        <w:t xml:space="preserve">6.1.2    zusätzlich zu Nummer 6.1.1 je weiterer Komponente    50</w:t>
      </w:r>
    </w:p>
    <w:p>
      <w:r>
        <w:rPr>
          <w:rFonts w:ascii="Courier New" w:hAnsi="Courier New"/>
          <w:sz w:val="17"/>
        </w:rPr>
        <w:t xml:space="preserve">6.2    für die Freigabe auf Grund eigener Untersuchungen der Charge, soweit der Umfang der experimentellen Prüfung nach § 33 Absatz 2 Satz 2 der Tierimpfstoff-Verordnung beschränkt ist, zusätzlich zu Nummer 6.1    </w:t>
      </w:r>
    </w:p>
    <w:p>
      <w:r>
        <w:rPr>
          <w:rFonts w:ascii="Courier New" w:hAnsi="Courier New"/>
          <w:sz w:val="17"/>
        </w:rPr>
        <w:t xml:space="preserve">6.2.1    je In-vitro-Test    1 100</w:t>
      </w:r>
    </w:p>
    <w:p>
      <w:r>
        <w:rPr>
          <w:rFonts w:ascii="Courier New" w:hAnsi="Courier New"/>
          <w:sz w:val="17"/>
        </w:rPr>
        <w:t xml:space="preserve">6.2.2    je In-vivo-Test    2 500</w:t>
      </w:r>
    </w:p>
    <w:p>
      <w:r>
        <w:rPr>
          <w:rFonts w:ascii="Courier New" w:hAnsi="Courier New"/>
          <w:sz w:val="17"/>
        </w:rPr>
        <w:t xml:space="preserve">6.3    für die Freigabe auf Grund der Durchführung der nach § 33 Absatz 2 Satz 1 der Tierimpfstoff-Verordnung vorgesehenen Untersuchungen    500 bis zu der für eine Zulassung nach Nummer 1 jeweils vorgesehenen Gebühr</w:t>
      </w:r>
    </w:p>
    <w:p>
      <w:r>
        <w:rPr>
          <w:rFonts w:ascii="Courier New" w:hAnsi="Courier New"/>
          <w:sz w:val="17"/>
        </w:rPr>
        <w:t xml:space="preserve">6.4    für die Freigabe einer Charge, für die bereits ein Zertifikat durch das Paul-Ehrlich-Institut erteilt worden ist    140</w:t>
      </w:r>
    </w:p>
    <w:p>
      <w:r>
        <w:rPr>
          <w:rFonts w:ascii="Courier New" w:hAnsi="Courier New"/>
          <w:sz w:val="17"/>
        </w:rPr>
        <w:t xml:space="preserve">6.5    für die Freigabe auf Grund der Prüfergebnisse der zuständigen Stelle eines anderen Mitgliedstaats    110</w:t>
      </w:r>
    </w:p>
    <w:p>
      <w:r>
        <w:rPr>
          <w:rFonts w:ascii="Courier New" w:hAnsi="Courier New"/>
          <w:sz w:val="17"/>
        </w:rPr>
        <w:t xml:space="preserve">6.6    wenn mehrere Chargen gleichzeitig freigegeben werden, die sich voneinander nur in der Chargenbezeichnung, durch das Volumen des Endbehälters oder durch die Bezeichnung des Mittels unterscheiden,    </w:t>
      </w:r>
    </w:p>
    <w:p>
      <w:r>
        <w:rPr>
          <w:rFonts w:ascii="Courier New" w:hAnsi="Courier New"/>
          <w:sz w:val="17"/>
        </w:rPr>
        <w:t xml:space="preserve">6.6.1    für die erste Charge    die in Nummer 6.1 bis 6.3 vorgesehene Gebühr</w:t>
      </w:r>
    </w:p>
    <w:p>
      <w:r>
        <w:rPr>
          <w:rFonts w:ascii="Courier New" w:hAnsi="Courier New"/>
          <w:sz w:val="17"/>
        </w:rPr>
        <w:t xml:space="preserve">6.6.2    für jede weitere Charge    110</w:t>
      </w:r>
    </w:p>
    <w:p>
      <w:r>
        <w:rPr>
          <w:rFonts w:ascii="Courier New" w:hAnsi="Courier New"/>
          <w:sz w:val="17"/>
        </w:rPr>
        <w:t xml:space="preserve">6.7    unter Berücksichtigung der Prüfergebnisse bereits erfolgter Chargenfreigaben    ein Viertel bis drei Viertel der in Nummer 6.1 bis 6.3 vorgesehenen Gebühr</w:t>
      </w:r>
    </w:p>
    <w:p>
      <w:r>
        <w:t xml:space="preserve">Abschnitt 2 Gebühren für individuell zurechenbare öffentliche Leistungen des Friedrich-Loeffler-Instituts im Hinblick auf Mittel, die nicht zur Anwendung am Tier bestimmt sind, sowie für die Untersuchung von Tieren und Erzeugnissen von Tieren, die zur Einfuhr oder Ausfuhr bestimmt sind</w:t>
      </w:r>
    </w:p>
    <w:p>
      <w:r>
        <w:rPr>
          <w:rFonts w:ascii="Courier New" w:hAnsi="Courier New"/>
          <w:sz w:val="17"/>
        </w:rPr>
        <w:t xml:space="preserve">Gebühren- nummer    Gebührentatbestand    Gebühr Euro</w:t>
      </w:r>
    </w:p>
    <w:p>
      <w:r>
        <w:rPr>
          <w:rFonts w:ascii="Courier New" w:hAnsi="Courier New"/>
          <w:sz w:val="17"/>
        </w:rPr>
        <w:t xml:space="preserve">1    2    3</w:t>
      </w:r>
    </w:p>
    <w:p>
      <w:r>
        <w:rPr>
          <w:rFonts w:ascii="Courier New" w:hAnsi="Courier New"/>
          <w:sz w:val="17"/>
        </w:rPr>
        <w:t xml:space="preserve">1    Für die Entscheidung über die Zulassung nach § 22 der Tierimpfstoff-Verordnung    </w:t>
      </w:r>
    </w:p>
    <w:p>
      <w:r>
        <w:rPr>
          <w:rFonts w:ascii="Courier New" w:hAnsi="Courier New"/>
          <w:sz w:val="17"/>
        </w:rPr>
        <w:t xml:space="preserve">1.1    für die Zulassung bei geringem bis durchschnittlichem Aufwand    2 500</w:t>
      </w:r>
    </w:p>
    <w:p>
      <w:r>
        <w:rPr>
          <w:rFonts w:ascii="Courier New" w:hAnsi="Courier New"/>
          <w:sz w:val="17"/>
        </w:rPr>
        <w:t xml:space="preserve">1.2    für die Zulassung bei erhöhtem Aufwand, insbesondere auf Grund umfangreicher Prüfungen oder Mehrfachprüfungen    3 750</w:t>
      </w:r>
    </w:p>
    <w:p>
      <w:r>
        <w:rPr>
          <w:rFonts w:ascii="Courier New" w:hAnsi="Courier New"/>
          <w:sz w:val="17"/>
        </w:rPr>
        <w:t xml:space="preserve">2    Für die Entscheidung über die Verlängerung der Dauer einer Zulassung nach § 26 der Tierimpfstoff-Verordnung    2 200</w:t>
      </w:r>
    </w:p>
    <w:p>
      <w:r>
        <w:rPr>
          <w:rFonts w:ascii="Courier New" w:hAnsi="Courier New"/>
          <w:sz w:val="17"/>
        </w:rPr>
        <w:t xml:space="preserve">2a    Für die Entscheidung über die Zustimmung zu einer Änderung nach § 29a der Tierimpfstoff-Verordnung    </w:t>
      </w:r>
    </w:p>
    <w:p>
      <w:r>
        <w:rPr>
          <w:rFonts w:ascii="Courier New" w:hAnsi="Courier New"/>
          <w:sz w:val="17"/>
        </w:rPr>
        <w:t xml:space="preserve">2a.1    bei geringem bis durchschnittlichem Aufwand    50 bis 500</w:t>
      </w:r>
    </w:p>
    <w:p>
      <w:r>
        <w:rPr>
          <w:rFonts w:ascii="Courier New" w:hAnsi="Courier New"/>
          <w:sz w:val="17"/>
        </w:rPr>
        <w:t xml:space="preserve">2a.2    bei erhöhtem Aufwand, insbesondere auf Grund umfangreicher Prüfungen    500 bis 1 000</w:t>
      </w:r>
    </w:p>
    <w:p>
      <w:r>
        <w:rPr>
          <w:rFonts w:ascii="Courier New" w:hAnsi="Courier New"/>
          <w:sz w:val="17"/>
        </w:rPr>
        <w:t xml:space="preserve">3    Für die Entscheidung über die Freigabe einer Charge nach § 32 Absatz 3 der Tierimpfstoff-Verordnung    </w:t>
      </w:r>
    </w:p>
    <w:p>
      <w:r>
        <w:rPr>
          <w:rFonts w:ascii="Courier New" w:hAnsi="Courier New"/>
          <w:sz w:val="17"/>
        </w:rPr>
        <w:t xml:space="preserve">3.1    für ein Prüfungsverfahren bei geringem bis durchschnittlichem Aufwand    340</w:t>
      </w:r>
    </w:p>
    <w:p>
      <w:r>
        <w:rPr>
          <w:rFonts w:ascii="Courier New" w:hAnsi="Courier New"/>
          <w:sz w:val="17"/>
        </w:rPr>
        <w:t xml:space="preserve">3.2    für ein Prüfungsverfahren bei erhöhtem Aufwand, insbesondere auf Grund umfangreicher Prüfungen oder Mehrfachprüfungen    510</w:t>
      </w:r>
    </w:p>
    <w:p>
      <w:r>
        <w:rPr>
          <w:rFonts w:ascii="Courier New" w:hAnsi="Courier New"/>
          <w:sz w:val="17"/>
        </w:rPr>
        <w:t xml:space="preserve">3.3    für die Freistellung von der Chargenprüfung nach § 33 Absatz 3 der Tierimpfstoff-Verordnung    300</w:t>
      </w:r>
    </w:p>
    <w:p>
      <w:r>
        <w:rPr>
          <w:rFonts w:ascii="Courier New" w:hAnsi="Courier New"/>
          <w:sz w:val="17"/>
        </w:rPr>
        <w:t xml:space="preserve">4    Für die Untersuchung von Tieren oder Erzeugnissen von Tieren, die zur Einfuhr oder Ausfuhr bestimmt sind, nach § 27 Absatz 3 Satz 1 Nummer 2 des Tiergesundheitsgesetzes    </w:t>
      </w:r>
    </w:p>
    <w:p>
      <w:r>
        <w:rPr>
          <w:rFonts w:ascii="Courier New" w:hAnsi="Courier New"/>
          <w:sz w:val="17"/>
        </w:rPr>
        <w:t xml:space="preserve">4.1    für den Nachweis von Antikörpern im Mikroneutralisationstest    </w:t>
      </w:r>
    </w:p>
    <w:p>
      <w:r>
        <w:rPr>
          <w:rFonts w:ascii="Courier New" w:hAnsi="Courier New"/>
          <w:sz w:val="17"/>
        </w:rPr>
        <w:t xml:space="preserve">4.1.1    gegen ein Virus    </w:t>
      </w:r>
    </w:p>
    <w:p>
      <w:r>
        <w:rPr>
          <w:rFonts w:ascii="Courier New" w:hAnsi="Courier New"/>
          <w:sz w:val="17"/>
        </w:rPr>
        <w:t xml:space="preserve">4.1.1.1    für eine Probe    80</w:t>
      </w:r>
    </w:p>
    <w:p>
      <w:r>
        <w:rPr>
          <w:rFonts w:ascii="Courier New" w:hAnsi="Courier New"/>
          <w:sz w:val="17"/>
        </w:rPr>
        <w:t xml:space="preserve">4.1.1.2    für jede weitere Probe    30</w:t>
      </w:r>
    </w:p>
    <w:p>
      <w:r>
        <w:rPr>
          <w:rFonts w:ascii="Courier New" w:hAnsi="Courier New"/>
          <w:sz w:val="17"/>
        </w:rPr>
        <w:t xml:space="preserve">4.1.1.3    für jede weitere Probe bei vereinfachter Probenerfassung    10</w:t>
      </w:r>
    </w:p>
    <w:p>
      <w:r>
        <w:rPr>
          <w:rFonts w:ascii="Courier New" w:hAnsi="Courier New"/>
          <w:sz w:val="17"/>
        </w:rPr>
        <w:t xml:space="preserve">4.1.2    gegen jedes weitere Virus im gleichen Testsystem, pro Probe zusätzlich zu den Gebühren nach Nummer 4.1.1    10</w:t>
      </w:r>
    </w:p>
    <w:p>
      <w:r>
        <w:rPr>
          <w:rFonts w:ascii="Courier New" w:hAnsi="Courier New"/>
          <w:sz w:val="17"/>
        </w:rPr>
        <w:t xml:space="preserve">4.1.3    für die Auswertung eines Mikroneutralisationstests mittels Fluoreszenzverfahren, Immunperoxidasefärbung oder einer ähnlichen Methode, pro Probe zusätzlich zu den Gebühren nach Nummer 4.1.1 und 4.1.2    10</w:t>
      </w:r>
    </w:p>
    <w:p>
      <w:r>
        <w:rPr>
          <w:rFonts w:ascii="Courier New" w:hAnsi="Courier New"/>
          <w:sz w:val="17"/>
        </w:rPr>
        <w:t xml:space="preserve">4.2    für den Nachweis von Antikörpern in einem ELISA-System    </w:t>
      </w:r>
    </w:p>
    <w:p>
      <w:r>
        <w:rPr>
          <w:rFonts w:ascii="Courier New" w:hAnsi="Courier New"/>
          <w:sz w:val="17"/>
        </w:rPr>
        <w:t xml:space="preserve">4.2.1    gegen ein Antigen    </w:t>
      </w:r>
    </w:p>
    <w:p>
      <w:r>
        <w:rPr>
          <w:rFonts w:ascii="Courier New" w:hAnsi="Courier New"/>
          <w:sz w:val="17"/>
        </w:rPr>
        <w:t xml:space="preserve">4.2.1.1    für eine Probe    70</w:t>
      </w:r>
    </w:p>
    <w:p>
      <w:r>
        <w:rPr>
          <w:rFonts w:ascii="Courier New" w:hAnsi="Courier New"/>
          <w:sz w:val="17"/>
        </w:rPr>
        <w:t xml:space="preserve">4.2.1.2    für jede weitere Probe    20</w:t>
      </w:r>
    </w:p>
    <w:p>
      <w:r>
        <w:rPr>
          <w:rFonts w:ascii="Courier New" w:hAnsi="Courier New"/>
          <w:sz w:val="17"/>
        </w:rPr>
        <w:t xml:space="preserve">4.2.1.3    für jede weitere Probe bei vereinfachter Probenerfassung    10</w:t>
      </w:r>
    </w:p>
    <w:p>
      <w:r>
        <w:rPr>
          <w:rFonts w:ascii="Courier New" w:hAnsi="Courier New"/>
          <w:sz w:val="17"/>
        </w:rPr>
        <w:t xml:space="preserve">4.2.2    gegen jedes weitere Antigen im gleichen Testsystem, pro Probe zusätzlich zu den Gebühren nach Nummer 4.2.1    10</w:t>
      </w:r>
    </w:p>
    <w:p>
      <w:r>
        <w:rPr>
          <w:rFonts w:ascii="Courier New" w:hAnsi="Courier New"/>
          <w:sz w:val="17"/>
        </w:rPr>
        <w:t xml:space="preserve">4.3    für den Nachweis von Antikörpern gegen ein Antigen oder von Antigenen gegen ein Antiserum im Immunopräzipitationstest    </w:t>
      </w:r>
    </w:p>
    <w:p>
      <w:r>
        <w:rPr>
          <w:rFonts w:ascii="Courier New" w:hAnsi="Courier New"/>
          <w:sz w:val="17"/>
        </w:rPr>
        <w:t xml:space="preserve">4.3.1    für eine Probe    70</w:t>
      </w:r>
    </w:p>
    <w:p>
      <w:r>
        <w:rPr>
          <w:rFonts w:ascii="Courier New" w:hAnsi="Courier New"/>
          <w:sz w:val="17"/>
        </w:rPr>
        <w:t xml:space="preserve">4.3.2    für jede weitere Probe    20</w:t>
      </w:r>
    </w:p>
    <w:p>
      <w:r>
        <w:rPr>
          <w:rFonts w:ascii="Courier New" w:hAnsi="Courier New"/>
          <w:sz w:val="17"/>
        </w:rPr>
        <w:t xml:space="preserve">4.4    für den Nachweis von Antikörpern gegen ein Antigen im Immunoblotverfahren    </w:t>
      </w:r>
    </w:p>
    <w:p>
      <w:r>
        <w:rPr>
          <w:rFonts w:ascii="Courier New" w:hAnsi="Courier New"/>
          <w:sz w:val="17"/>
        </w:rPr>
        <w:t xml:space="preserve">4.4.1    für eine Probe    70</w:t>
      </w:r>
    </w:p>
    <w:p>
      <w:r>
        <w:rPr>
          <w:rFonts w:ascii="Courier New" w:hAnsi="Courier New"/>
          <w:sz w:val="17"/>
        </w:rPr>
        <w:t xml:space="preserve">4.4.2    für jede weitere Probe    20</w:t>
      </w:r>
    </w:p>
    <w:p>
      <w:r>
        <w:rPr>
          <w:rFonts w:ascii="Courier New" w:hAnsi="Courier New"/>
          <w:sz w:val="17"/>
        </w:rPr>
        <w:t xml:space="preserve">4.5    für den Nachweis von Antikörpern im Hämagglutinations-Hemmtest    </w:t>
      </w:r>
    </w:p>
    <w:p>
      <w:r>
        <w:rPr>
          <w:rFonts w:ascii="Courier New" w:hAnsi="Courier New"/>
          <w:sz w:val="17"/>
        </w:rPr>
        <w:t xml:space="preserve">4.5.1    gegen ein Antigen    </w:t>
      </w:r>
    </w:p>
    <w:p>
      <w:r>
        <w:rPr>
          <w:rFonts w:ascii="Courier New" w:hAnsi="Courier New"/>
          <w:sz w:val="17"/>
        </w:rPr>
        <w:t xml:space="preserve">4.5.1.1    für eine Probe    70</w:t>
      </w:r>
    </w:p>
    <w:p>
      <w:r>
        <w:rPr>
          <w:rFonts w:ascii="Courier New" w:hAnsi="Courier New"/>
          <w:sz w:val="17"/>
        </w:rPr>
        <w:t xml:space="preserve">4.5.1.2    für jede weitere Probe    10</w:t>
      </w:r>
    </w:p>
    <w:p>
      <w:r>
        <w:rPr>
          <w:rFonts w:ascii="Courier New" w:hAnsi="Courier New"/>
          <w:sz w:val="17"/>
        </w:rPr>
        <w:t xml:space="preserve">4.5.2    gegen jedes weitere Antigen    </w:t>
      </w:r>
    </w:p>
    <w:p>
      <w:r>
        <w:rPr>
          <w:rFonts w:ascii="Courier New" w:hAnsi="Courier New"/>
          <w:sz w:val="17"/>
        </w:rPr>
        <w:t xml:space="preserve">4.5.2.1    für eine Probe    20</w:t>
      </w:r>
    </w:p>
    <w:p>
      <w:r>
        <w:rPr>
          <w:rFonts w:ascii="Courier New" w:hAnsi="Courier New"/>
          <w:sz w:val="17"/>
        </w:rPr>
        <w:t xml:space="preserve">4.5.2.2    für jede weitere Probe    10</w:t>
      </w:r>
    </w:p>
    <w:p>
      <w:r>
        <w:rPr>
          <w:rFonts w:ascii="Courier New" w:hAnsi="Courier New"/>
          <w:sz w:val="17"/>
        </w:rPr>
        <w:t xml:space="preserve">4.6    für den Nachweis von Antikörpern in der Komplement-Bindungsreaktion    </w:t>
      </w:r>
    </w:p>
    <w:p>
      <w:r>
        <w:rPr>
          <w:rFonts w:ascii="Courier New" w:hAnsi="Courier New"/>
          <w:sz w:val="17"/>
        </w:rPr>
        <w:t xml:space="preserve">4.6.1    für eine Probe    70</w:t>
      </w:r>
    </w:p>
    <w:p>
      <w:r>
        <w:rPr>
          <w:rFonts w:ascii="Courier New" w:hAnsi="Courier New"/>
          <w:sz w:val="17"/>
        </w:rPr>
        <w:t xml:space="preserve">4.6.2    für jede weitere Probe    20</w:t>
      </w:r>
    </w:p>
    <w:p>
      <w:r>
        <w:rPr>
          <w:rFonts w:ascii="Courier New" w:hAnsi="Courier New"/>
          <w:sz w:val="17"/>
        </w:rPr>
        <w:t xml:space="preserve">4.7    für den Nachweis von Antikörpern in der Serumlangsamagglutination    </w:t>
      </w:r>
    </w:p>
    <w:p>
      <w:r>
        <w:rPr>
          <w:rFonts w:ascii="Courier New" w:hAnsi="Courier New"/>
          <w:sz w:val="17"/>
        </w:rPr>
        <w:t xml:space="preserve">4.7.1    für eine Probe    70</w:t>
      </w:r>
    </w:p>
    <w:p>
      <w:r>
        <w:rPr>
          <w:rFonts w:ascii="Courier New" w:hAnsi="Courier New"/>
          <w:sz w:val="17"/>
        </w:rPr>
        <w:t xml:space="preserve">4.7.2    für jede weitere Probe    20</w:t>
      </w:r>
    </w:p>
    <w:p>
      <w:r>
        <w:rPr>
          <w:rFonts w:ascii="Courier New" w:hAnsi="Courier New"/>
          <w:sz w:val="17"/>
        </w:rPr>
        <w:t xml:space="preserve">4.8    für den Nachweis von Antikörpern im Rose-Bengal-Test    </w:t>
      </w:r>
    </w:p>
    <w:p>
      <w:r>
        <w:rPr>
          <w:rFonts w:ascii="Courier New" w:hAnsi="Courier New"/>
          <w:sz w:val="17"/>
        </w:rPr>
        <w:t xml:space="preserve">4.8.1    für eine Probe    20</w:t>
      </w:r>
    </w:p>
    <w:p>
      <w:r>
        <w:rPr>
          <w:rFonts w:ascii="Courier New" w:hAnsi="Courier New"/>
          <w:sz w:val="17"/>
        </w:rPr>
        <w:t xml:space="preserve">4.8.2    für jede weitere Probe    10</w:t>
      </w:r>
    </w:p>
    <w:p>
      <w:r>
        <w:rPr>
          <w:rFonts w:ascii="Courier New" w:hAnsi="Courier New"/>
          <w:sz w:val="17"/>
        </w:rPr>
        <w:t xml:space="preserve">4.9    für den Virusnachweis in Einschicht-Zellkulturen    70</w:t>
      </w:r>
    </w:p>
    <w:p>
      <w:r>
        <w:rPr>
          <w:rFonts w:ascii="Courier New" w:hAnsi="Courier New"/>
          <w:sz w:val="17"/>
        </w:rPr>
        <w:t xml:space="preserve">4.10    für den MKS-Virusnachweis aus Tiersamen, pro Charge    240</w:t>
      </w:r>
    </w:p>
    <w:p>
      <w:r>
        <w:rPr>
          <w:rFonts w:ascii="Courier New" w:hAnsi="Courier New"/>
          <w:sz w:val="17"/>
        </w:rPr>
        <w:t xml:space="preserve">4.11    für den spezifischen Nachweis einer Nukleinsäure    </w:t>
      </w:r>
    </w:p>
    <w:p>
      <w:r>
        <w:rPr>
          <w:rFonts w:ascii="Courier New" w:hAnsi="Courier New"/>
          <w:sz w:val="17"/>
        </w:rPr>
        <w:t xml:space="preserve">4.11.1    für eine Probe    70</w:t>
      </w:r>
    </w:p>
    <w:p>
      <w:r>
        <w:rPr>
          <w:rFonts w:ascii="Courier New" w:hAnsi="Courier New"/>
          <w:sz w:val="17"/>
        </w:rPr>
        <w:t xml:space="preserve">4.11.2    für jede weitere Probe    30</w:t>
      </w:r>
    </w:p>
    <w:p>
      <w:r>
        <w:rPr>
          <w:rFonts w:ascii="Courier New" w:hAnsi="Courier New"/>
          <w:sz w:val="17"/>
        </w:rPr>
        <w:t xml:space="preserve">4.12    für die Nukleinsäurecharakterisierung    140</w:t>
      </w:r>
    </w:p>
    <w:p>
      <w:r>
        <w:rPr>
          <w:color w:val="555555"/>
          <w:sz w:val="17"/>
        </w:rPr>
        <w:t xml:space="preserve">Zitiervorschlag: Anlage TierImpfStKostV 2010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https://recht.nulegal.eu/gesetze/TierImpfStKostV%202010/anlage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