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TierImpfStKostV 2010 — Gebühren und Auslagen für individuell zurechenbare öffentliche Leistungen vor Inkrafttreten</w:t>
      </w:r>
    </w:p>
    <w:p>
      <w:r>
        <w:rPr>
          <w:color w:val="555555"/>
          <w:sz w:val="18"/>
        </w:rPr>
        <w:t xml:space="preserve">Tierimpfstoff-Kostenverordnung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Die Vorschriften dieser Verordnung sind auch anzuwenden auf Fälle, in denen vor dem Inkrafttreten dieser Verordnung eine den individuell zurechenbaren öffentlichen Leistungen nach Abschnitt 1 Nummer 3, 5.3 oder 5.4 der Anlage entsprechende Leistung vorgenommen worden ist, soweit eine Gebührenerhebung vorbehalten und der Antragsteller vor Abschluss der Leistung über die voraussichtliche Gebührenhöhe informiert worden ist.</w:t>
      </w:r>
    </w:p>
    <w:p>
      <w:r>
        <w:rPr>
          <w:color w:val="555555"/>
          <w:sz w:val="17"/>
        </w:rPr>
        <w:t xml:space="preserve">Zitiervorschlag: § 4 TierImpfStKostV 2010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https://recht.nulegal.eu/gesetze/TierImpfStKostV%202010/4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