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TierImpfStKostV 2010 — Gebührenverzeichnis</w:t>
      </w:r>
    </w:p>
    <w:p>
      <w:r>
        <w:rPr>
          <w:color w:val="555555"/>
          <w:sz w:val="18"/>
        </w:rPr>
        <w:t xml:space="preserve">Tierimpfstoff-Kostenverordnung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 gebührenpflichtigen Tatbestände und die Höhe der Gebühren ergeben sich aus dem Gebührenverzeichnis der Anlage.</w:t>
      </w:r>
    </w:p>
    <w:p>
      <w:r>
        <w:rPr>
          <w:color w:val="555555"/>
          <w:sz w:val="17"/>
        </w:rPr>
        <w:t xml:space="preserve">Zitiervorschlag: § 2 TierImpfStKostV 2010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https://recht.nulegal.eu/gesetze/TierImpfStKostV%202010/2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